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Equipment Officer, Grade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Equipment and Adaptations Partnership (MEAP) Living,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 Directorate for Adults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Assessment Team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carry out comprehensive assessments and respond to identified need as appropriate, coordinate and contribute to the provision of a high quality service to support service users and promote their independence ensuring service standards are achieved, maintained and improved.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contribute to the positive engagement of service users with support services provided by both statutory and voluntary agencies, ensuring that they are appropriately supported and able to contribute positively to the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US" w:eastAsia="en-US" w:bidi="en-US"/>
        </w:rPr>
      </w:pPr>
      <w:r>
        <w:rPr>
          <w:rFonts w:ascii="Arial" w:hAnsi="Arial" w:eastAsia="Arial" w:cs="Arial"/>
          <w:lang w:val="en-US" w:eastAsia="en-US" w:bidi="en-US"/>
        </w:rPr>
        <w:t xml:space="preserve">The role holder will assist with establishing and maintaining partnerships with a range of stakeholders and agencies in line with City Council policies and procedures.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r>
        <w:rPr>
          <w:sz w:val="24"/>
          <w:szCs w:val="24"/>
          <w:lang w:val="en-GB" w:eastAsia="en-GB" w:bidi="en-GB"/>
        </w:rPr>
        <w:t xml:space="preserve">Carry out holistic assessments which are responsive to the needs of Manchester residents including where appropriate, the provision of rehabilitation services.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r>
        <w:rPr>
          <w:sz w:val="24"/>
          <w:szCs w:val="24"/>
          <w:lang w:val="en-GB" w:eastAsia="en-GB" w:bidi="en-GB"/>
        </w:rPr>
        <w:t xml:space="preserve">Coordinate and contribute to a responsive and efficient service user assessment service to determine their support needs and provide expert advice on a range of realistic and sustainable options within the context of relevant legislation.</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r>
        <w:rPr>
          <w:sz w:val="24"/>
          <w:szCs w:val="24"/>
          <w:lang w:val="en-GB" w:eastAsia="en-GB" w:bidi="en-GB"/>
        </w:rPr>
        <w:t xml:space="preserve">Provide or facilitate provision and fitting of equipment, adaptations and/or intervention from other agencies or departments.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r>
        <w:rPr>
          <w:sz w:val="24"/>
          <w:szCs w:val="24"/>
          <w:lang w:val="en-GB" w:eastAsia="en-GB" w:bidi="en-GB"/>
        </w:rPr>
        <w:t xml:space="preserve">Ensure service users are referred to appropriate support services as necessary to improve outcomes and establish and maintain close joint working arrangements with other agencies and stakeholders.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 in collaboration with stakeholders and partners to actively help and support the identification and reduction of safeguarding risks to vulnerable residents of the city.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p>
    <w:p>
      <w:pPr>
        <w:pStyle w:val="Table Text"/>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Respond to all queries from a wide range of stakeholders, including both internal and external customers, in an efficient and courteous manner, using initiative and creative skills to respond appropriately to problems that arise.</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r>
        <w:rPr>
          <w:sz w:val="24"/>
          <w:szCs w:val="24"/>
          <w:lang w:val="en-GB" w:eastAsia="en-GB" w:bidi="en-GB"/>
        </w:rPr>
        <w:t xml:space="preserve">Work proactively and efficiently to manage workloads in a demand led and front line service and incorporate a flexible approach to problem solving.</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Ensure all records, processes and systems are up to date and maintained to assist with data collection and performance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w:t>
      </w:r>
    </w:p>
    <w:p>
      <w:pPr>
        <w:pStyle w:val="ssdefault"/>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lang w:val="en-GB" w:eastAsia="en-GB" w:bidi="en-GB"/>
        </w:rPr>
        <w:br w:type="page"/>
      </w: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lang w:val="en-GB" w:eastAsia="en-GB" w:bidi="en-GB"/>
        </w:rPr>
        <w:t xml:space="preserve">Manchester Equipment and Adaptations Partnership (MEAP is a city wide service, providing a co-ordinated, comprehensive and streamlined service to disabled and older people to maximise independence, choice, safety and quality of life.  The key functions of the service include complex assessment for the provision of equipment and major adaptations to enable disabled people, including children and adults, to live as independently as possible within their own homes, in the community, and to enable carers to look after them, </w:t>
      </w:r>
      <w:r>
        <w:rPr>
          <w:rFonts w:ascii="Arial" w:hAnsi="Arial" w:eastAsia="Arial" w:cs="Arial"/>
          <w:color w:val="000000"/>
          <w:lang w:val="en-GB" w:eastAsia="en-GB" w:bidi="en-GB"/>
        </w:rPr>
        <w:t xml:space="preserve">mobility assessments for Blue Badges, and provision of equipment, minor and major adaptations.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As a preventative service, MEAP aim to reduce reliance on care services, slow down admissions to nursing and residential accommodation and reduce falls requiring hospital admissions.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Service works in collaboration with Health and other key stakeholders to develop effective partnerships, linkages and greater coordinated working with other services, key agencies and organisations to ensure that teams contribute to the development and delivery of the cities priorities.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be responsible for undertaking holistic Care Act 2014 assessments both within the community and hospital/intermediate care facilities.  The role holder will undertake home visits and carry out holistic strengths-based observations and assessments of citizens to support a determination of social care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Key Responsibilities will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Arranging timely support for reablement, packages of care, respite, carer assessments,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equipment and minor adaptations to support independent living, assistive technology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support carers and family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Advising citizens and referring them to appropriate services based on the observation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assessment completed, ensuring that the provision of services supports citizens maximise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their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Developing and implementing citizen support plans to meet identified social needs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individuals, enabling the citizen to achieve maximum health and well-being.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Establishing and maintaining relationships with citizens and working proactively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appropriate stakeholders to assess the individual’s needs and support positive outcomes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citizens.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Complete strengths based holistic assessments and observations, identifying and arranging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appropriate adults services to meet the needs of the citizen.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Providing and facilitating the provision and fitting of equipment, adaptations and/or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intervention from other agencies or departments.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Identifying safeguarding and mental capacity issues and referrals as appropriate; assisting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in investigations of allegations of any form of abuse to vulnerable adults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Actively participating in new initiatives and future changes intended to improve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delivery.</w:t>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Assessment Officer – 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BODY"/>
        <w:numPr>
          <w:ilvl w:val="0"/>
          <w:numId w:val="1"/>
        </w:numPr>
        <w:shd w:val="clear" w:color="auto" w:fill="FFFFFF"/>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222222"/>
          <w:lang w:val="en-US" w:eastAsia="en-US" w:bidi="en-US"/>
        </w:rPr>
        <w:t xml:space="preserve">We are proud and passionate about Manchester</w:t>
      </w:r>
      <w:r>
        <w:rPr>
          <w:color w:val="222222"/>
        </w:rPr>
        <w:t xml:space="preserve"> </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lang w:val="en-US" w:eastAsia="en-US" w:bidi="en-US"/>
        </w:rPr>
        <w:t xml:space="preserve">We take time to listen and understand </w:t>
      </w:r>
      <w:r>
        <w:rPr>
          <w:color w:val="000000"/>
        </w:rPr>
        <w:t xml:space="preserve"> </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lang w:val="en-US" w:eastAsia="en-US" w:bidi="en-US"/>
        </w:rPr>
        <w:t xml:space="preserve">We ‘own it’ and we’re not afraid to try new things  </w:t>
      </w:r>
      <w:r>
        <w:rPr>
          <w:color w:val="000000"/>
        </w:rPr>
        <w:t xml:space="preserve"> </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lang w:val="en-US" w:eastAsia="en-US" w:bidi="en-US"/>
        </w:rPr>
        <w:t xml:space="preserve">We work together and trust each other</w:t>
      </w:r>
      <w:r>
        <w:rPr>
          <w:color w:val="000000"/>
        </w:rPr>
        <w:t xml:space="preserve"> </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lang w:val="en-US" w:eastAsia="en-US" w:bidi="en-US"/>
        </w:rPr>
        <w:t xml:space="preserve">We show that we value our differences and treat people fairly</w:t>
      </w:r>
      <w:r>
        <w:rPr>
          <w:color w:val="00000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US" w:eastAsia="en-US" w:bidi="en-US"/>
        </w:rPr>
      </w:pPr>
      <w:r>
        <w:rPr>
          <w:rFonts w:ascii="Arial" w:hAnsi="Arial" w:eastAsia="Arial" w:cs="Arial"/>
          <w:b/>
          <w:bCs/>
          <w:lang w:val="en-GB" w:eastAsia="en-GB" w:bidi="en-GB"/>
        </w:rPr>
        <w:t xml:space="preserve">Communication Skills:</w:t>
      </w:r>
      <w:r>
        <w:rPr>
          <w:rFonts w:ascii="Arial" w:hAnsi="Arial" w:eastAsia="Arial" w:cs="Arial"/>
          <w:lang w:val="en-GB" w:eastAsia="en-GB" w:bidi="en-GB"/>
        </w:rPr>
        <w:t xml:space="preserve"> Demonstrates an understanding of the views of others and communicates in a realistic and practical manner using appropriate language and medium, listens attentively to views and issues of others and responds to issues arising.</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US" w:eastAsia="en-US" w:bidi="en-US"/>
        </w:rPr>
        <w:t xml:space="preserve">Analytical Skills:</w:t>
      </w:r>
      <w:r>
        <w:rPr>
          <w:rFonts w:ascii="Arial" w:hAnsi="Arial" w:eastAsia="Arial" w:cs="Arial"/>
          <w:lang w:val="en-US" w:eastAsia="en-US" w:bidi="en-US"/>
        </w:rPr>
        <w:t xml:space="preserve"> Ability to absorb, understand and quickly assimilate complex information and compare information from several different sources. </w:t>
      </w:r>
      <w:r>
        <w:rPr>
          <w:rFonts w:ascii="Arial" w:hAnsi="Arial" w:eastAsia="Arial" w:cs="Arial"/>
          <w:lang w:val="en-GB" w:eastAsia="en-GB" w:bidi="en-GB"/>
        </w:rPr>
        <w:t xml:space="preserve">Able and confident to resolve moderately complicated queries in their area of knowledge using logical thinking to explain reasoning behind decisions or actions taken.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w:t>
      </w:r>
      <w:r>
        <w:rPr>
          <w:rFonts w:ascii="Arial" w:hAnsi="Arial" w:eastAsia="Arial" w:cs="Arial"/>
          <w:color w:val="000000"/>
          <w:sz w:val="22"/>
          <w:szCs w:val="22"/>
          <w:lang w:val="en-GB" w:eastAsia="en-GB" w:bidi="en-GB"/>
        </w:rPr>
        <w:t xml:space="preserve"> Demonstrate the ability to organize multiple tasks in the most effective way and allocate time and energy according to task complexity and priority.</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ICT Skills:</w:t>
      </w:r>
      <w:r>
        <w:rPr>
          <w:rFonts w:ascii="Arial" w:hAnsi="Arial" w:eastAsia="Arial" w:cs="Arial"/>
          <w:lang w:val="en-GB" w:eastAsia="en-GB" w:bidi="en-GB"/>
        </w:rPr>
        <w:t xml:space="preserve"> Ability to use ICT systems to obtain and analyse data and present it effectively through a variety of ICT channels.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w:t>
      </w:r>
      <w:r>
        <w:rPr>
          <w:rFonts w:ascii="Arial" w:hAnsi="Arial" w:eastAsia="Arial" w:cs="Arial"/>
          <w:lang w:val="en-GB" w:eastAsia="en-GB" w:bidi="en-GB"/>
        </w:rPr>
        <w:t xml:space="preserve"> Ability to analyse situations, diagnose problems, identify the key issues, establish and evaluate alternative courses of action and produce a logical, practical and acceptable solution.  Can make effective decisions on a day-to-day basis, taking ownership of decisions, demonstrating sound judgement in escalating issues where necessary. be logical in thinking and explain reasoning behind decisions or actions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Default 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US" w:eastAsia="en-US" w:bidi="en-US"/>
        </w:rPr>
      </w:pPr>
      <w:r>
        <w:rPr>
          <w:lang w:val="en-US" w:eastAsia="en-US" w:bidi="en-US"/>
        </w:rPr>
        <w:t xml:space="preserve">Hold or willing to undertake Level 3 Trusted Assessor accreditation</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p>
    <w:p>
      <w:pPr>
        <w:pStyle w:val="Default 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US" w:eastAsia="en-US" w:bidi="en-US"/>
        </w:rPr>
      </w:pPr>
      <w:r>
        <w:rPr>
          <w:lang w:val="en-US" w:eastAsia="en-US" w:bidi="en-US"/>
        </w:rPr>
        <w:t xml:space="preserve">Full driving license and access to a car for business use.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Default 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US" w:eastAsia="en-US" w:bidi="en-US"/>
        </w:rPr>
      </w:pPr>
      <w:r>
        <w:rPr>
          <w:lang w:val="en-US" w:eastAsia="en-US" w:bidi="en-US"/>
        </w:rPr>
        <w:t xml:space="preserve">Must be able to drive city wide as part of the role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US" w:eastAsia="en-US" w:bidi="en-US"/>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b/>
          <w:bCs/>
          <w:lang w:val="en-GB" w:eastAsia="en-GB" w:bidi="en-GB"/>
        </w:rPr>
      </w:pPr>
      <w:r>
        <w:rPr>
          <w:rFonts w:ascii="Arial" w:hAnsi="Arial" w:eastAsia="Arial" w:cs="Arial"/>
          <w:lang w:val="en-GB" w:eastAsia="en-GB" w:bidi="en-GB"/>
        </w:rPr>
        <w:t xml:space="preserve">Must hold a current valid Enhanced DBS check and Level 3 Police Clearance.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sectPr>
      <w:headerReference w:type="default" r:id="rId00008"/>
      <w:footerReference w:type="default" r:id="rId00009"/>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Ariall">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-1270</wp:posOffset>
          </wp:positionH>
          <wp:positionV relativeFrom="paragraph">
            <wp:posOffset>0</wp:posOffset>
          </wp:positionV>
          <wp:extent cx="6263640" cy="989330"/>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6263640" cy="98933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2145030" cy="777240"/>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5030" cy="777240"/>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ff"/>
        <w:i w:val="off"/>
        <w:strike w:val="off"/>
        <w:color w:val="222222"/>
        <w:position w:val="0"/>
        <w:sz w:val="24"/>
        <w:u w:val="none"/>
        <w:shd w:val="clear" w:color="auto" w:fill="auto"/>
      </w:rPr>
    </w:lvl>
  </w:abstractNum>
  <w:abstractNum w:abstractNumId="1">
    <w:multiLevelType w:val="singleLevel"/>
    <w:lvl w:ilvl="0">
      <w:start w:val="1"/>
      <w:numFmt w:val="bullet"/>
      <w:suff w:val="space"/>
      <w:lvlText w:val="•"/>
      <w:pPr>
        <w:ind w:left="360" w:hanging="260"/>
      </w:pPr>
      <w:rPr>
        <w:rFonts w:hint="default" w:ascii="Ariall" w:hAnsi="Ariall" w:eastAsia="Ariall" w:cs="Arial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BodyText">
    <w:name w:val="Body Text"/>
    <w:basedOn w:val="Normal"/>
    <w:next w:val="BodyText"/>
    <w:qFormat/>
    <w:pPr>
      <w:spacing w:after="120"/>
    </w:pPr>
    <w:rPr>
      <w:rFonts w:ascii="Arial" w:hAnsi="Arial" w:eastAsia="Arial" w:cs="Arial"/>
      <w:sz w:val="20"/>
      <w:szCs w:val="20"/>
      <w:lang w:val="en-GB" w:eastAsia="en-GB" w:bidi="en-GB"/>
    </w:rPr>
  </w:style>
  <w:style w:type="paragraph" w:styleId="Table Text" w:customStyle="1">
    <w:name w:val="Table Text"/>
    <w:basedOn w:val="Normal"/>
    <w:next w:val="Table Text"/>
    <w:qFormat/>
    <w:pPr>
      <w:widowControl w:val="off"/>
      <w:jc w:val="right"/>
    </w:pPr>
    <w:rPr>
      <w:rFonts w:ascii="Arial" w:hAnsi="Arial" w:eastAsia="Arial" w:cs="Arial"/>
      <w:lang w:val="en-GB" w:eastAsia="en-GB" w:bidi="en-GB"/>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tl w:val="off"/>
    </w:rPr>
  </w:style>
  <w:style w:type="character" w:styleId="Body Text Char" w:customStyle="1">
    <w:name w:val="Body Text Char"/>
    <w:qFormat/>
    <w:rPr>
      <w:rFonts w:ascii="Arial" w:hAnsi="Arial" w:eastAsia="Arial" w:cs="Arial"/>
      <w:sz w:val="20"/>
      <w:szCs w:val="20"/>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Downs</dc:creator>
  <dcterms:created xsi:type="dcterms:W3CDTF">2025-11-25T11:59:00Z</dcterms:created>
</cp:coreProperties>
</file>