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Highway Structures Lead, Grade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Highways Service,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Reports to: Head of Network Management</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r>
        <w:rPr>
          <w:rFonts w:ascii="Arial" w:hAnsi="Arial" w:eastAsia="Arial" w:cs="Arial"/>
          <w:b/>
          <w:bCs/>
          <w:lang w:val="en-US" w:eastAsia="en-US" w:bidi="en-US"/>
        </w:rPr>
        <w:t xml:space="preserve">Job Family: Commissioning and Commercial</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4"/>
          <w:szCs w:val="24"/>
          <w:lang w:val="en-GB" w:eastAsia="en-GB" w:bidi="en-GB"/>
        </w:rPr>
      </w:pPr>
      <w:r>
        <w:rPr>
          <w:rFonts w:ascii="Arial" w:hAnsi="Arial" w:eastAsia="Arial" w:cs="Arial"/>
          <w:sz w:val="24"/>
          <w:szCs w:val="24"/>
          <w:lang w:val="en-GB" w:eastAsia="en-GB" w:bidi="en-GB"/>
        </w:rPr>
        <w:t xml:space="preserve">The role holder will lead and coordinate a service or function ensuring the effective and prioritised deployment of resources to deliver </w:t>
      </w:r>
      <w:r>
        <w:rPr>
          <w:rFonts w:ascii="Arial" w:hAnsi="Arial" w:eastAsia="Arial" w:cs="Arial"/>
          <w:color w:val="000000"/>
          <w:sz w:val="24"/>
          <w:szCs w:val="24"/>
          <w:lang w:val="en-GB" w:eastAsia="en-GB" w:bidi="en-GB"/>
        </w:rPr>
        <w:t xml:space="preserve">contract management, commissioning, commercial activity and business improvement/development.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They will lead and drive the design, implementation, development, support and monitoring of policies, procedures frameworks and approaches. In doing so they will support the achievement of strategic and operational objectives through a focus on quality, value for money and innovation whilst providing organisational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The role holder will work collaboratively with both internal services and external partners in a manner which is focused on organisational objectives and embraces the principle of joint working.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en-GB" w:eastAsia="en-GB" w:bidi="en-GB"/>
        </w:rPr>
      </w:pPr>
      <w:r>
        <w:rPr>
          <w:rFonts w:ascii="Arial" w:hAnsi="Arial" w:eastAsia="Arial" w:cs="Arial"/>
          <w:sz w:val="24"/>
          <w:szCs w:val="24"/>
          <w:lang w:val="en-GB" w:eastAsia="en-GB" w:bidi="en-GB"/>
        </w:rPr>
        <w:t xml:space="preserve">They will ensure the effective and prioritised deployment of resources to provide reliable information and support to managers and decision makers. </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Lead the development of strategic responses through provision of specialist advice, insight, support and challenge to support the delivery of organisational priorities, and to ensure the Council is able to meet its legal obligations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Ensure the development, maintenance and monitoring of effective systems and information to support the delivery of key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Accountable for all aspects of contract or service agreements, taking a lead on strategic reviews where required to ensure that commissioned services are fit for purpose.</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Ensure effective commercial performance management, building capacity within the service to maintain continuous improvement against key performance indicators and service level agreements.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Represent the service/organisation in meetings, working groups and other forums, providing an input that proactively drives delivery of priorities.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Play a lead role in the analysis and review of services provided, and in monitoring and implementing changes within the service to improve the overall performance, and meet the diverse and changing needs of stakeholders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 strong and clear advocate for the organisation’s </w:t>
      </w:r>
      <w:r>
        <w:rPr>
          <w:rFonts w:ascii="Arial" w:hAnsi="Arial" w:eastAsia="Arial" w:cs="Arial"/>
          <w:b/>
          <w:bCs/>
          <w:i/>
          <w:iCs/>
          <w:sz w:val="24"/>
          <w:szCs w:val="24"/>
          <w:lang w:val="en-GB" w:eastAsia="en-GB" w:bidi="en-GB"/>
        </w:rPr>
        <w:t xml:space="preserve">m people</w:t>
      </w:r>
      <w:r>
        <w:rPr>
          <w:rFonts w:ascii="Arial" w:hAnsi="Arial" w:eastAsia="Arial" w:cs="Arial"/>
          <w:b/>
          <w:bCs/>
          <w:sz w:val="24"/>
          <w:szCs w:val="24"/>
          <w:lang w:val="en-GB" w:eastAsia="en-GB" w:bidi="en-GB"/>
        </w:rPr>
        <w:t xml:space="preserve"> </w:t>
      </w:r>
      <w:r>
        <w:rPr>
          <w:rFonts w:ascii="Arial" w:hAnsi="Arial" w:eastAsia="Arial" w:cs="Arial"/>
          <w:sz w:val="24"/>
          <w:szCs w:val="24"/>
          <w:lang w:val="en-GB" w:eastAsia="en-GB" w:bidi="en-GB"/>
        </w:rPr>
        <w:t xml:space="preserve">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The roleholder will be expected to effectively co-ordinate resources to support the principals of ‘joined up’ communication and to ensure efficiencies are achieved.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4"/>
          <w:szCs w:val="24"/>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4"/>
          <w:szCs w:val="24"/>
          <w:lang w:val="en-GB" w:eastAsia="en-GB" w:bidi="en-GB"/>
        </w:rPr>
      </w:pPr>
      <w:r>
        <w:rPr>
          <w:rFonts w:ascii="Arial" w:hAnsi="Arial" w:eastAsia="Arial" w:cs="Arial"/>
          <w:color w:val="000000"/>
          <w:sz w:val="24"/>
          <w:szCs w:val="24"/>
          <w:lang w:val="en-GB" w:eastAsia="en-GB" w:bidi="en-GB"/>
        </w:rPr>
        <w:t xml:space="preserve">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4"/>
          <w:szCs w:val="24"/>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color w:val="000000"/>
          <w:sz w:val="24"/>
          <w:szCs w:val="24"/>
          <w:lang w:val="en-GB" w:eastAsia="en-GB" w:bidi="en-GB"/>
        </w:rPr>
      </w:pPr>
      <w:r>
        <w:rPr>
          <w:rFonts w:ascii="Arial" w:hAnsi="Arial" w:eastAsia="Arial" w:cs="Arial"/>
          <w:color w:val="000000"/>
          <w:sz w:val="24"/>
          <w:szCs w:val="24"/>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fully considered.</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lang w:val="en-GB" w:eastAsia="en-GB" w:bidi="en-GB"/>
        </w:rPr>
        <w:br w:type="page"/>
      </w:r>
      <w:r>
        <w:rPr>
          <w:rFonts w:ascii="Arial" w:hAnsi="Arial" w:eastAsia="Arial" w:cs="Arial"/>
          <w:b/>
          <w:bCs/>
          <w:lang w:val="en-GB" w:eastAsia="en-GB" w:bidi="en-GB"/>
        </w:rPr>
        <w:t xml:space="preserve">Role Portfolio:</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scale and ambition of the work planned in the City over the next few years, to deliver both the Greater Manchester Transport Strategy 2040 and National Transport Strategies, is huge. It will provide excellent opportunities for career development to the full range of professionals who support our schemes, across the full range of professional disciplines.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In the Highways Service in Manchester, we seek to:</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Manage</w:t>
      </w:r>
      <w:r>
        <w:rPr>
          <w:rFonts w:ascii="Arial" w:hAnsi="Arial" w:eastAsia="Arial" w:cs="Arial"/>
          <w:lang w:val="en-GB" w:eastAsia="en-GB" w:bidi="en-GB"/>
        </w:rPr>
        <w:t xml:space="preserve"> the highway network and public spaces efficiently balancing the various needs of users and stakeholders improving network reliability work with colleagues and members in a partnership way that takes a strategic approach to highway infrastructure to deliver the Council’s vision and strategies and supports the growth aspirations of the City.</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Maintain</w:t>
      </w:r>
      <w:r>
        <w:rPr>
          <w:rFonts w:ascii="Arial" w:hAnsi="Arial" w:eastAsia="Arial" w:cs="Arial"/>
          <w:lang w:val="en-GB" w:eastAsia="en-GB" w:bidi="en-GB"/>
        </w:rPr>
        <w:t xml:space="preserve"> the highway, structures and public spaces and its assets fulfilling the Council’s legal obligations in a cost-effective way using a whole life costing approach communicate with residents, stakeholders, business, visitors and commuters in relation to service delivery and work programmes and their levels of satisfaction.</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Improve</w:t>
      </w:r>
      <w:r>
        <w:rPr>
          <w:rFonts w:ascii="Arial" w:hAnsi="Arial" w:eastAsia="Arial" w:cs="Arial"/>
          <w:lang w:val="en-GB" w:eastAsia="en-GB" w:bidi="en-GB"/>
        </w:rPr>
        <w:t xml:space="preserve"> - develop, design, procure and implement improvement schemes to make better use of the existing network, improve accessibility and increase journey time reliability create, design and deliver sustainable and active transport through better and increased walking and cycling routes and supporting children with road safety. Effectively use a supply chain and increase social value for Manchester. Support utility companies to manage critical infrastructure.</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Manchester City Council is a place where you can put your innovative thinking and business skills into high gear and work alongside other highly competent and motivated people. It's a place where you can apply your skills to some of the most challenging, interesting, and meaningful projects across Greater Manchester.</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About the Network Management Team</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It provides services for communities and neighbourhoods, including planned and reactive maintenance, network management and development control, co-ordinating and managing roadworks, winter maintenance (including gritting), highways structures (bridges etc), flood management, parking, public spaces, monuments and water features. They aim to meet the needs of the City and our residents by providing the best possible service, working efficiently and generating income.</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Contract Management</w:t>
      </w: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Managing and maintaining bridges, footbridges, culverts, retaining walls, subways, tunnels and sign gantries.</w:t>
      </w: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Responsibility for contracts relating to the design, inspection, assessment, structural review, construction and decommissioning of highway bridges and structures.</w:t>
      </w: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Managing bridge inspections including inspection contracts.</w:t>
      </w: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Reporting on performance and quality checks</w:t>
      </w: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Keeping asset management systems and information up to date.</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The Role</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lead, manage and coordinate the Bridges and Highway Structures service – effectively deploying resources to deliver, continuously improve and develop the service. They will be the MCC lead officer responsible for the service. They will ensure continued delivery and management of the ongoing 4-year contract to undertake benchmark principal and general inspections currently being undertaken by consultants.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be responsible for the management and maintenance for 430 bridges and highway structures within Manchester. These structures include bridges, culverts, subways, tunnels, retaining walls and sign gantries. Other maintained iconic (non-highway) structures include the Chinese Arch in the City Centre (‘Chinatown’) and the Central Park Canopy (Metrolink) in Harpurhey.</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This function is responsible for managing and maintaining these highway structures, as per Highways Act 1980, by keeping them safe for use and fit for purpose.</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be responsible for ensuring that the following activities and services are continuously delivered/provided: -  </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Regular inspections and reporting of the structures’ condition. These inspections may be General Inspections (every 2 years), Principal inspections (every 6-10 years depending on the structure “risk ranking”), or Special inspections (under special or emergency conditions).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Commissioning planned, reactive and preventive maintenance of the City Council’s highway structures to improve resilience and prolong their life. This will include addressing imminent safety risk posed by the structures to the public (due to accidental damage or other causes).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Providing a service for reviewing and checking planning applications (in relation to highway bridges and structures) and requiring Approval In Principle” (AIP) or licence applications for any work that may impact on the stability of a public highway plus the approval and supervision of any works on an existing highway structure.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Structural reviews and, where appropriate assessments of highway bridges and structures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Managing the City Council’s highway bridges and structures in relation to resilience challenges from climate change and network criticality.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Annual reviews and updates of the City Council’s Bridges Asset Management Strategy together with annual and monthly reporting of resilience and performance levels.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Commissioning and overseeing the design of new and replacement highway bridges and structures undertaken both in-house and by external consultants. This will include fulfilling the role of Technical Approval Authority for the City Council.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Liaising with TfGM and other Greater Manchester Councils to streamline or synchronise (where necessary) the groups’ highway structures’ management systems. </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Overseeing the updating City Council’s highway structure records and management systems.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Offering expert advice on civil and structural engineering matters to other MCC Departments and outside organisations.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When nominated, represent MCC at all bridges meetings across the North West region and nationally (e.g., Greater Manchester Bridges Group, North West Area Bridges Group, ADEPT National Bridges Group and UK Bridges Board).</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Being Cost Centre Manager for an MCC Cost Centre. This includes staff costs, consultant costs, spend on external analytical services, income for work with other internal departments plus release of secured financial allocations such as Section 106 Developer Related Funding.</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Fulfilling staff management duties and responsibilities for up to 4 internal MCC staff plus external consultants brought in for specialist purposes.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Providing high level support in the development of frameworks contracts to deliver quality and appropriate development and outputs to secure the improved wellbeing of the City and leading on negotiations, particularly those requiring complex and specialist technical and legislative expertise, to deliver a quality service.</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Working with a high degree of independence and closely with other organisations to ensure the City Council’s objectives for development in the City are achieved and delivered and to deal with any consequent complex and highly technical matters associated with the development process.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Being accountable for ensuring that the statutory responsibilities of the City Council as the Highway Authority in relation to bridges and other highway structures are effectively discharged and reflected in the delivery of the service and contribute to City Wide initiatives. The role holder will form judgements and make decisions in accordance with the scheme of delegation in the absence of the Head of Network Management.</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Providing a high standard of advice, through reports to and attendance at (when appropriate) Council Committees, in a complex specialist area and a commitment to the Council’s policies, objectives and values. </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Providing management support to members of the team and proactively implementing the City Council’s HR policies and procedures in order to ensure a high level of staff motivation and development and the effective delivery of the Council’s values and objectives.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Representing the City Council at senior level meetings, Public Inquiries, examination in public and other proceedings as required. This will require an extensive knowledge in a specialist area including a highly developed understanding of the legislative framework and appropriate Government Guidance including the broad range of areas it interfaces with.</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Effectively develop and maintain links with key contacts and stakeholders including Councillors, Committees, investors and developers, groups and individuals to ensure that the work of the group responds positively to their needs and aspirations.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Providing advice and guidance to internal and external partners and customers.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Effectively communicating significant complex technical issues including the relevant and associated legislation to manage negotiations and necessary processes involving problems relating to the built environment in order to resolve issues in accordance with corporate objectives, priorities and values.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z-TopofForm"/>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Provision of support in the preparation of reports and information for various committee cycles and to represent the service and City Council in relation to various Highway Structures matters. Also working within the overall polices of the council, using discretion and initiative over broad areas of activity without recourse to others and with minimal management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4"/>
          <w:szCs w:val="24"/>
          <w:u w:val="single"/>
          <w:lang w:val="en-GB" w:eastAsia="en-GB" w:bidi="en-GB"/>
        </w:rPr>
      </w:pPr>
      <w:r>
        <w:rPr>
          <w:rFonts w:ascii="Arial" w:hAnsi="Arial" w:eastAsia="Arial" w:cs="Arial"/>
          <w:lang w:val="en-GB" w:eastAsia="en-GB" w:bidi="en-GB"/>
        </w:rPr>
        <w:br w:type="page"/>
      </w:r>
      <w:r>
        <w:rPr>
          <w:rFonts w:ascii="Arial" w:hAnsi="Arial" w:eastAsia="Arial" w:cs="Arial"/>
          <w:b/>
          <w:bCs/>
          <w:sz w:val="24"/>
          <w:szCs w:val="24"/>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sz w:val="24"/>
          <w:szCs w:val="24"/>
          <w:lang w:val="en-GB" w:eastAsia="en-GB" w:bidi="en-GB"/>
        </w:rPr>
      </w:pPr>
      <w:r>
        <w:rPr>
          <w:rFonts w:ascii="Arial" w:hAnsi="Arial" w:eastAsia="Arial" w:cs="Arial"/>
          <w:b/>
          <w:bCs/>
          <w:sz w:val="24"/>
          <w:szCs w:val="24"/>
          <w:lang w:val="en-GB" w:eastAsia="en-GB" w:bidi="en-GB"/>
        </w:rPr>
        <w:t xml:space="preserve">Our Manchester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p>
      <w:pPr>
        <w:pStyle w:val="BODY"/>
        <w:numPr>
          <w:ilvl w:val="0"/>
          <w:numId w:val="2"/>
        </w:num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360"/>
        <w:rPr>
          <w:rFonts w:ascii="Calibri" w:hAnsi="Calibri" w:eastAsia="Calibri" w:cs="Calibri"/>
          <w:color w:val="000000"/>
        </w:rPr>
      </w:pPr>
      <w:r>
        <w:rPr>
          <w:color w:val="000000"/>
        </w:rPr>
        <w:t xml:space="preserve">We are proud and passionate about Manchester </w:t>
      </w:r>
    </w:p>
    <w:p>
      <w:pPr>
        <w:pStyle w:val="BODY"/>
        <w:numPr>
          <w:ilvl w:val="0"/>
          <w:numId w:val="2"/>
        </w:num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360"/>
        <w:rPr>
          <w:rFonts w:ascii="Calibri" w:hAnsi="Calibri" w:eastAsia="Calibri" w:cs="Calibri"/>
          <w:color w:val="000000"/>
        </w:rPr>
      </w:pPr>
      <w:r>
        <w:rPr>
          <w:color w:val="000000"/>
        </w:rPr>
        <w:t xml:space="preserve">We take time to listen and understand  </w:t>
      </w:r>
    </w:p>
    <w:p>
      <w:pPr>
        <w:pStyle w:val="BODY"/>
        <w:numPr>
          <w:ilvl w:val="0"/>
          <w:numId w:val="2"/>
        </w:num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360"/>
        <w:rPr>
          <w:rFonts w:ascii="Calibri" w:hAnsi="Calibri" w:eastAsia="Calibri" w:cs="Calibri"/>
          <w:color w:val="000000"/>
        </w:rPr>
      </w:pPr>
      <w:r>
        <w:rPr>
          <w:color w:val="000000"/>
        </w:rPr>
        <w:t xml:space="preserve">We ‘own it’ and we’re not afraid to try new things   </w:t>
      </w:r>
    </w:p>
    <w:p>
      <w:pPr>
        <w:pStyle w:val="BODY"/>
        <w:numPr>
          <w:ilvl w:val="0"/>
          <w:numId w:val="2"/>
        </w:num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360"/>
        <w:rPr>
          <w:rFonts w:ascii="Calibri" w:hAnsi="Calibri" w:eastAsia="Calibri" w:cs="Calibri"/>
          <w:color w:val="000000"/>
        </w:rPr>
      </w:pPr>
      <w:r>
        <w:rPr>
          <w:color w:val="000000"/>
        </w:rPr>
        <w:t xml:space="preserve">We work together and trust each other </w:t>
      </w:r>
    </w:p>
    <w:p>
      <w:pPr>
        <w:pStyle w:val="BODY"/>
        <w:numPr>
          <w:ilvl w:val="0"/>
          <w:numId w:val="2"/>
        </w:num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360"/>
        <w:rPr>
          <w:rFonts w:ascii="Calibri" w:hAnsi="Calibri" w:eastAsia="Calibri" w:cs="Calibri"/>
          <w:color w:val="ED5C57"/>
        </w:rPr>
      </w:pPr>
      <w:r>
        <w:rPr>
          <w:color w:val="000000"/>
        </w:rPr>
        <w:t xml:space="preserve">We show that we value our differences and treat people fairly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sz w:val="24"/>
          <w:szCs w:val="24"/>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sz w:val="24"/>
          <w:szCs w:val="24"/>
          <w:lang w:val="en-GB" w:eastAsia="en-GB" w:bidi="en-GB"/>
        </w:rPr>
      </w:pPr>
      <w:r>
        <w:rPr>
          <w:rFonts w:ascii="Arial" w:hAnsi="Arial" w:eastAsia="Arial" w:cs="Arial"/>
          <w:b/>
          <w:bCs/>
          <w:sz w:val="24"/>
          <w:szCs w:val="24"/>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4"/>
          <w:szCs w:val="24"/>
          <w:lang w:val="en-GB" w:eastAsia="en-GB" w:bidi="en-GB"/>
        </w:rPr>
      </w:pPr>
      <w:r>
        <w:rPr>
          <w:rFonts w:ascii="Arial" w:hAnsi="Arial" w:eastAsia="Arial" w:cs="Arial"/>
          <w:b/>
          <w:bCs/>
          <w:sz w:val="24"/>
          <w:szCs w:val="24"/>
          <w:lang w:val="en-GB" w:eastAsia="en-GB" w:bidi="en-GB"/>
        </w:rPr>
        <w:t xml:space="preserve">Communication Skills</w:t>
      </w:r>
      <w:r>
        <w:rPr>
          <w:rFonts w:ascii="Helvetica" w:hAnsi="Helvetica" w:eastAsia="Helvetica" w:cs="Helvetica"/>
          <w:sz w:val="24"/>
          <w:szCs w:val="24"/>
          <w:lang w:val="en-GB" w:eastAsia="en-GB" w:bidi="en-GB"/>
        </w:rPr>
        <w:t xml:space="preserve">: Ability to negotiate difficult agreements with wide impact; ability to influence or persuade internal or external stakeholders. Write convincingly and clearly, succinctly and correctly, avoiding the unnecessary use of jargon or complicated language; write in a well-structured and logical way and structure information to meet the needs and understanding of the intended audience.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4"/>
          <w:szCs w:val="24"/>
          <w:lang w:val="en-GB" w:eastAsia="en-GB" w:bidi="en-GB"/>
        </w:rPr>
      </w:pPr>
      <w:r>
        <w:rPr>
          <w:rFonts w:ascii="Arial" w:hAnsi="Arial" w:eastAsia="Arial" w:cs="Arial"/>
          <w:b/>
          <w:bCs/>
          <w:sz w:val="24"/>
          <w:szCs w:val="24"/>
          <w:lang w:val="en-GB" w:eastAsia="en-GB" w:bidi="en-GB"/>
        </w:rPr>
        <w:t xml:space="preserve">Analytical Skills</w:t>
      </w:r>
      <w:r>
        <w:rPr>
          <w:rFonts w:ascii="Helvetica" w:hAnsi="Helvetica" w:eastAsia="Helvetica" w:cs="Helvetica"/>
          <w:sz w:val="24"/>
          <w:szCs w:val="24"/>
          <w:lang w:val="en-GB" w:eastAsia="en-GB" w:bidi="en-GB"/>
        </w:rPr>
        <w:t xml:space="preserve">: Ability to absorb, understand and quickly assimilate complex information and concepts and compare information from a number of different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4"/>
          <w:szCs w:val="24"/>
          <w:lang w:val="en-GB" w:eastAsia="en-GB" w:bidi="en-GB"/>
        </w:rPr>
      </w:pPr>
      <w:r>
        <w:rPr>
          <w:rFonts w:ascii="Arial" w:hAnsi="Arial" w:eastAsia="Arial" w:cs="Arial"/>
          <w:b/>
          <w:bCs/>
          <w:sz w:val="24"/>
          <w:szCs w:val="24"/>
          <w:lang w:val="en-GB" w:eastAsia="en-GB" w:bidi="en-GB"/>
        </w:rPr>
        <w:t xml:space="preserve">Planning and Organising</w:t>
      </w:r>
      <w:r>
        <w:rPr>
          <w:rFonts w:ascii="Helvetica" w:hAnsi="Helvetica" w:eastAsia="Helvetica" w:cs="Helvetica"/>
          <w:sz w:val="24"/>
          <w:szCs w:val="24"/>
          <w:lang w:val="en-GB" w:eastAsia="en-GB" w:bidi="en-GB"/>
        </w:rPr>
        <w:t xml:space="preserve">: 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4"/>
          <w:szCs w:val="24"/>
          <w:lang w:val="en-GB" w:eastAsia="en-GB" w:bidi="en-GB"/>
        </w:rPr>
      </w:pPr>
      <w:r>
        <w:rPr>
          <w:rFonts w:ascii="Arial" w:hAnsi="Arial" w:eastAsia="Arial" w:cs="Arial"/>
          <w:b/>
          <w:bCs/>
          <w:sz w:val="24"/>
          <w:szCs w:val="24"/>
          <w:lang w:val="en-GB" w:eastAsia="en-GB" w:bidi="en-GB"/>
        </w:rPr>
        <w:t xml:space="preserve">Problem Solving and Decision Making</w:t>
      </w:r>
      <w:r>
        <w:rPr>
          <w:rFonts w:ascii="Helvetica" w:hAnsi="Helvetica" w:eastAsia="Helvetica" w:cs="Helvetica"/>
          <w:sz w:val="24"/>
          <w:szCs w:val="24"/>
          <w:lang w:val="en-GB" w:eastAsia="en-GB" w:bidi="en-GB"/>
        </w:rPr>
        <w:t xml:space="preserve">: Ability to formulate independently a range of options for new or unfamiliar situations and to select the appropriate course of action to produce a logical, practical and acceptable solution. An ability to make independent decisions of a relatively uniform nature. Strong decision-making skills with the ability to resolve complex issues in a pressurised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4"/>
          <w:szCs w:val="24"/>
          <w:lang w:val="en-GB" w:eastAsia="en-GB" w:bidi="en-GB"/>
        </w:rPr>
      </w:pPr>
      <w:r>
        <w:rPr>
          <w:rFonts w:ascii="Arial" w:hAnsi="Arial" w:eastAsia="Arial" w:cs="Arial"/>
          <w:b/>
          <w:bCs/>
          <w:sz w:val="24"/>
          <w:szCs w:val="24"/>
          <w:lang w:val="en-GB" w:eastAsia="en-GB" w:bidi="en-GB"/>
        </w:rPr>
        <w:t xml:space="preserve">Creative Skills</w:t>
      </w:r>
      <w:r>
        <w:rPr>
          <w:rFonts w:ascii="Helvetica" w:hAnsi="Helvetica" w:eastAsia="Helvetica" w:cs="Helvetica"/>
          <w:sz w:val="24"/>
          <w:szCs w:val="24"/>
          <w:lang w:val="en-GB" w:eastAsia="en-GB" w:bidi="en-GB"/>
        </w:rPr>
        <w:t xml:space="preserve">: Ability to find creative and innovative solutions where there are no existing parameters or procedural framework.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4"/>
          <w:szCs w:val="24"/>
          <w:lang w:val="en-GB" w:eastAsia="en-GB" w:bidi="en-GB"/>
        </w:rPr>
      </w:pPr>
      <w:r>
        <w:rPr>
          <w:rFonts w:ascii="Arial" w:hAnsi="Arial" w:eastAsia="Arial" w:cs="Arial"/>
          <w:b/>
          <w:bCs/>
          <w:sz w:val="24"/>
          <w:szCs w:val="24"/>
          <w:lang w:val="en-GB" w:eastAsia="en-GB" w:bidi="en-GB"/>
        </w:rPr>
        <w:t xml:space="preserve">Research &amp; Intelligence: </w:t>
      </w:r>
      <w:r>
        <w:rPr>
          <w:rFonts w:ascii="Helvetica" w:hAnsi="Helvetica" w:eastAsia="Helvetica" w:cs="Helvetica"/>
          <w:sz w:val="24"/>
          <w:szCs w:val="24"/>
          <w:lang w:val="en-GB" w:eastAsia="en-GB" w:bidi="en-GB"/>
        </w:rPr>
        <w:t xml:space="preserve">Ability to conduct research using a variety of techniques, in order to gather evidence and evaluate intelligence, recording in compliance with documented standards and legislation.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4"/>
          <w:szCs w:val="24"/>
          <w:lang w:val="en-GB" w:eastAsia="en-GB" w:bidi="en-GB"/>
        </w:rPr>
      </w:pPr>
      <w:r>
        <w:rPr>
          <w:rFonts w:ascii="Arial" w:hAnsi="Arial" w:eastAsia="Arial" w:cs="Arial"/>
          <w:b/>
          <w:bCs/>
          <w:sz w:val="24"/>
          <w:szCs w:val="24"/>
          <w:lang w:val="en-GB" w:eastAsia="en-GB" w:bidi="en-GB"/>
        </w:rPr>
        <w:t xml:space="preserve">Financial Management: </w:t>
      </w:r>
      <w:r>
        <w:rPr>
          <w:rFonts w:ascii="Helvetica" w:hAnsi="Helvetica" w:eastAsia="Helvetica" w:cs="Helvetica"/>
          <w:sz w:val="24"/>
          <w:szCs w:val="24"/>
          <w:lang w:val="en-GB" w:eastAsia="en-GB" w:bidi="en-GB"/>
        </w:rPr>
        <w:t xml:space="preserve">Resource and financial management skills to develop effective planning, financial management and reporting frameworks. Manage allocated resources effectively, delivering business performance and value for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4"/>
          <w:szCs w:val="24"/>
          <w:lang w:val="en-GB" w:eastAsia="en-GB" w:bidi="en-GB"/>
        </w:rPr>
      </w:pPr>
      <w:r>
        <w:rPr>
          <w:rFonts w:ascii="Arial" w:hAnsi="Arial" w:eastAsia="Arial" w:cs="Arial"/>
          <w:b/>
          <w:bCs/>
          <w:sz w:val="24"/>
          <w:szCs w:val="24"/>
          <w:lang w:val="en-GB" w:eastAsia="en-GB" w:bidi="en-GB"/>
        </w:rPr>
        <w:t xml:space="preserve">Commercial Skills: </w:t>
      </w:r>
      <w:r>
        <w:rPr>
          <w:rFonts w:ascii="Helvetica" w:hAnsi="Helvetica" w:eastAsia="Helvetica" w:cs="Helvetica"/>
          <w:sz w:val="24"/>
          <w:szCs w:val="24"/>
          <w:lang w:val="en-GB" w:eastAsia="en-GB" w:bidi="en-GB"/>
        </w:rPr>
        <w:t xml:space="preserve">Skills to develop and manage contracts with suppliers to meet key performance indicators and agreed targets.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4"/>
          <w:szCs w:val="24"/>
          <w:lang w:val="en-GB" w:eastAsia="en-GB" w:bidi="en-GB"/>
        </w:rPr>
      </w:pPr>
      <w:r>
        <w:rPr>
          <w:rFonts w:ascii="Arial" w:hAnsi="Arial" w:eastAsia="Arial" w:cs="Arial"/>
          <w:b/>
          <w:bCs/>
          <w:sz w:val="24"/>
          <w:szCs w:val="24"/>
          <w:lang w:val="en-GB" w:eastAsia="en-GB" w:bidi="en-GB"/>
        </w:rPr>
        <w:t xml:space="preserve">Strategic Thinking</w:t>
      </w:r>
      <w:r>
        <w:rPr>
          <w:rFonts w:ascii="Helvetica" w:hAnsi="Helvetica" w:eastAsia="Helvetica" w:cs="Helvetica"/>
          <w:sz w:val="24"/>
          <w:szCs w:val="24"/>
          <w:lang w:val="en-GB" w:eastAsia="en-GB" w:bidi="en-GB"/>
        </w:rPr>
        <w:t xml:space="preserve">: Ability to contribute to the development, implementation and evaluation of strategy to shape future plans.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sz w:val="24"/>
          <w:szCs w:val="24"/>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sz w:val="24"/>
          <w:szCs w:val="24"/>
          <w:lang w:val="en-GB" w:eastAsia="en-GB" w:bidi="en-GB"/>
        </w:rPr>
      </w:pPr>
      <w:r>
        <w:rPr>
          <w:rFonts w:ascii="Arial" w:hAnsi="Arial" w:eastAsia="Arial" w:cs="Arial"/>
          <w:b/>
          <w:bCs/>
          <w:sz w:val="24"/>
          <w:szCs w:val="24"/>
          <w:lang w:val="en-GB" w:eastAsia="en-GB" w:bidi="en-GB"/>
        </w:rPr>
        <w:t xml:space="preserve">Technical Requirements (Role Specific) </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4"/>
          <w:szCs w:val="24"/>
          <w:lang w:val="en-GB" w:eastAsia="en-GB" w:bidi="en-GB"/>
        </w:rPr>
      </w:pPr>
      <w:r>
        <w:rPr>
          <w:rFonts w:ascii="Helvetica" w:hAnsi="Helvetica" w:eastAsia="Helvetica" w:cs="Helvetica"/>
          <w:sz w:val="24"/>
          <w:szCs w:val="24"/>
          <w:lang w:val="en-GB" w:eastAsia="en-GB" w:bidi="en-GB"/>
        </w:rPr>
        <w:t xml:space="preserve">A relevant technical qualification in the discipline of civil or structural engineering (e.g., B.Eng. or MEng.).</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r>
        <w:rPr>
          <w:rFonts w:ascii="Helvetica" w:hAnsi="Helvetica" w:eastAsia="Helvetica" w:cs="Helvetica"/>
          <w:lang w:val="en-GB" w:eastAsia="en-GB" w:bidi="en-GB"/>
        </w:rPr>
        <w:t xml:space="preserve">Membership of a civil/structural engineering professional institution (MICE., MIStructE). Chartered Engineer.</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Helvetica" w:hAnsi="Helvetica" w:eastAsia="Helvetica" w:cs="Helvetica"/>
          <w:lang w:val="en-GB" w:eastAsia="en-GB" w:bidi="en-GB"/>
        </w:rPr>
        <w:t xml:space="preserve">Expert knowledge of current technical standards, specifications, methods of measurement, contact conditions, codes of practice, legislation, health and safety in relation to the inspection, design, management and maintenance of highway bridges and structures.</w:t>
      </w:r>
    </w:p>
    <w:p>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6"/>
      <w:footerReference w:type="default" r:id="rId00007"/>
      <w:pgSz w:w="11907" w:h="16840"/>
      <w:pgMar w:top="1134" w:right="1247" w:bottom="1134" w:left="1247"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 Black">
    <w:panose1 w:val="020B0A04020102020204"/>
    <w:charset w:val="00"/>
    <w:family w:val="swiss"/>
    <w:pitch w:val="variable"/>
    <w:sig w:usb0="A00002AF" w:usb1="400078FB" w:usb2="00000000" w:usb3="00000000" w:csb0="6000009F" w:csb1="DFD7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0002EFF" w:usb1="C000247B" w:usb2="00000009" w:usb3="00000000" w:csb0="200001FF" w:csb1="00000000"/>
  </w:font>
  <w:font w:name="Helvetica">
    <w:panose1 w:val="020B0604020202020204"/>
    <w:charset w:val="00"/>
    <w:family w:val="swiss"/>
    <w:pitch w:val="variable"/>
    <w:sig w:usb0="E0002EFF" w:usb1="C000785B" w:usb2="00000009" w:usb3="00000000" w:csb0="400001FF" w:csb1="FFFF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lang w:val="en-GB" w:eastAsia="en-GB" w:bidi="en-GB"/>
      </w:rPr>
    </w:pPr>
    <w:r>
      <w:rPr>
        <w:rFonts w:ascii="Tahoma" w:hAnsi="Tahoma" w:eastAsia="Tahoma" w:cs="Tahoma"/>
        <w:b/>
        <w:bCs/>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r>
      <w:rPr>
        <w:b/>
        <w:bCs/>
        <w:sz w:val="16"/>
        <w:szCs w:val="16"/>
        <w:lang w:val="en-GB" w:eastAsia="en-GB" w:bidi="en-GB"/>
      </w:rPr>
      <w:drawing>
        <wp:inline distT="0" distB="0" distL="0" distR="0">
          <wp:extent cx="2193290" cy="409575"/>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93290" cy="409575"/>
                  </a:xfrm>
                  <a:prstGeom prst="rect">
                    <a:avLst/>
                  </a:prstGeom>
                </pic:spPr>
              </pic:pic>
            </a:graphicData>
          </a:graphic>
        </wp:inline>
      </w:drawing>
    </w:r>
  </w:p>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0.0.412.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4"/>
      <w:szCs w:val="24"/>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Default Text:1">
    <w:name w:val="Default Text:1"/>
    <w:basedOn w:val="Normal"/>
    <w:next w:val="Default Text:1"/>
    <w:qFormat/>
    <w:pPr/>
    <w:rPr>
      <w:color w:val="000000"/>
      <w:sz w:val="24"/>
      <w:szCs w:val="24"/>
      <w:lang w:val="en-US" w:eastAsia="en-US" w:bidi="en-US"/>
    </w:rPr>
  </w:style>
  <w:style w:type="paragraph" w:styleId="z-TopofForm">
    <w:name w:val="HTML Top of Form"/>
    <w:basedOn w:val="Normal"/>
    <w:next w:val="z-TopofForm"/>
    <w:qFormat/>
    <w:pPr/>
    <w:rPr>
      <w:sz w:val="24"/>
      <w:szCs w:val="24"/>
      <w:lang w:val="en-GB" w:eastAsia="en-GB" w:bidi="en-GB"/>
    </w:rPr>
  </w:style>
  <w:style w:type="paragraph" w:styleId="BodyText">
    <w:name w:val="Body Text"/>
    <w:basedOn w:val="Normal"/>
    <w:next w:val="BodyText"/>
    <w:qFormat/>
    <w:pPr/>
    <w:rPr>
      <w:rFonts w:ascii="Arial" w:hAnsi="Arial" w:eastAsia="Arial" w:cs="Arial"/>
      <w:sz w:val="24"/>
      <w:szCs w:val="24"/>
      <w:lang w:val="en-GB" w:eastAsia="en-GB" w:bidi="en-GB"/>
    </w:rPr>
  </w:style>
  <w:style w:type="paragraph" w:styleId="BodyText2">
    <w:name w:val="Body Text 2"/>
    <w:basedOn w:val="Normal"/>
    <w:next w:val="BodyText2"/>
    <w:qFormat/>
    <w:pPr>
      <w:spacing w:after="120" w:line="480" w:lineRule="auto"/>
    </w:pPr>
    <w:rPr>
      <w:sz w:val="24"/>
      <w:szCs w:val="24"/>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Heading1"/>
    <w:qFormat/>
    <w:pPr>
      <w:outlineLvl w:val="0"/>
    </w:pPr>
    <w:rPr>
      <w:rFonts w:ascii="Arial Black" w:hAnsi="Arial Black" w:eastAsia="Arial Black" w:cs="Arial Black"/>
      <w:sz w:val="28"/>
      <w:szCs w:val="28"/>
      <w:lang w:val="en-GB" w:eastAsia="en-GB" w:bidi="en-GB"/>
    </w:rPr>
  </w:style>
  <w:style w:type="paragraph" w:styleId="Heading2">
    <w:name w:val="heading 2"/>
    <w:basedOn w:val="Normal"/>
    <w:next w:val="Heading2"/>
    <w:qFormat/>
    <w:pPr>
      <w:outlineLvl w:val="1"/>
    </w:pPr>
    <w:rPr>
      <w:rFonts w:ascii="Arial" w:hAnsi="Arial" w:eastAsia="Arial" w:cs="Arial"/>
      <w:b/>
      <w:bCs/>
      <w:sz w:val="24"/>
      <w:szCs w:val="24"/>
      <w:lang w:val="en-GB" w:eastAsia="en-GB" w:bidi="en-GB"/>
    </w:rPr>
  </w:style>
  <w:style w:type="paragraph" w:styleId="Heading3">
    <w:name w:val="heading 3"/>
    <w:basedOn w:val="Normal"/>
    <w:next w:val="Heading3"/>
    <w:qFormat/>
    <w:pPr>
      <w:outlineLvl w:val="2"/>
    </w:pPr>
    <w:rPr>
      <w:b/>
      <w:bCs/>
      <w:sz w:val="24"/>
      <w:szCs w:val="24"/>
      <w:lang w:val="en-GB" w:eastAsia="en-GB" w:bidi="en-GB"/>
    </w:rPr>
  </w:style>
  <w:style w:type="paragraph" w:styleId="z-BottomofForm">
    <w:name w:val="HTML Bottom of Form"/>
    <w:basedOn w:val="Normal"/>
    <w:next w:val="z-BottomofForm"/>
    <w:qFormat/>
    <w:pPr>
      <w:ind w:firstLine="360"/>
    </w:pPr>
    <w:rPr>
      <w:sz w:val="24"/>
      <w:szCs w:val="24"/>
      <w:lang w:val="en-GB" w:eastAsia="en-GB" w:bidi="en-GB"/>
    </w:rPr>
  </w:style>
  <w:style w:type="paragraph" w:styleId="NormalWeb">
    <w:name w:val="Normal (Web)"/>
    <w:basedOn w:val="Normal"/>
    <w:next w:val="NormalWeb"/>
    <w:qFormat/>
    <w:pPr>
      <w:ind w:firstLine="360"/>
    </w:pPr>
    <w:rPr>
      <w:sz w:val="24"/>
      <w:szCs w:val="24"/>
      <w:lang w:val="en-GB" w:eastAsia="en-GB" w:bidi="en-GB"/>
    </w:rPr>
  </w:style>
  <w:style w:type="paragraph" w:styleId="Title">
    <w:name w:val="Title"/>
    <w:basedOn w:val="Normal"/>
    <w:next w:val="Title"/>
    <w:qFormat/>
    <w:pPr>
      <w:jc w:val="center"/>
    </w:pPr>
    <w:rPr>
      <w:rFonts w:ascii="Arial Black" w:hAnsi="Arial Black" w:eastAsia="Arial Black" w:cs="Arial Black"/>
      <w:sz w:val="48"/>
      <w:szCs w:val="48"/>
      <w:lang w:val="en-GB" w:eastAsia="en-GB" w:bidi="en-GB"/>
    </w:rPr>
  </w:style>
  <w:style w:type="paragraph" w:styleId="HTML Acronym1">
    <w:name w:val="HTML Acronym1"/>
    <w:basedOn w:val="Normal"/>
    <w:next w:val="HTML Acronym1"/>
    <w:qFormat/>
    <w:pPr/>
    <w:rPr>
      <w:sz w:val="24"/>
      <w:szCs w:val="24"/>
      <w:lang w:val="en-GB" w:eastAsia="en-GB" w:bidi="en-GB"/>
    </w:rPr>
  </w:style>
  <w:style w:type="paragraph" w:styleId="HTMLAddress">
    <w:name w:val="HTML Address"/>
    <w:basedOn w:val="Normal"/>
    <w:next w:val="HTMLAddress"/>
    <w:qFormat/>
    <w:pPr>
      <w:ind w:firstLine="360"/>
    </w:pPr>
    <w:rPr>
      <w:sz w:val="24"/>
      <w:szCs w:val="24"/>
      <w:lang w:val="en-GB" w:eastAsia="en-GB" w:bidi="en-GB"/>
    </w:rPr>
  </w:style>
  <w:style w:type="paragraph" w:styleId="HTML Cite1">
    <w:name w:val="HTML Cite1"/>
    <w:basedOn w:val="Normal"/>
    <w:next w:val="HTML Cite1"/>
    <w:qFormat/>
    <w:pPr>
      <w:ind w:firstLine="720"/>
    </w:pPr>
    <w:rPr>
      <w:sz w:val="24"/>
      <w:szCs w:val="24"/>
      <w:lang w:val="en-GB" w:eastAsia="en-GB" w:bidi="en-GB"/>
    </w:rPr>
  </w:style>
  <w:style w:type="paragraph" w:styleId="HTML Code1">
    <w:name w:val="HTML Code1"/>
    <w:basedOn w:val="Normal"/>
    <w:next w:val="HTML Code1"/>
    <w:qFormat/>
    <w:pPr>
      <w:ind w:firstLine="360"/>
    </w:pPr>
    <w:rPr>
      <w:sz w:val="24"/>
      <w:szCs w:val="24"/>
      <w:lang w:val="en-GB" w:eastAsia="en-GB" w:bidi="en-GB"/>
    </w:rPr>
  </w:style>
  <w:style w:type="paragraph" w:styleId="HTML Definition1">
    <w:name w:val="HTML Definition1"/>
    <w:basedOn w:val="Normal"/>
    <w:next w:val="HTML Definition1"/>
    <w:qFormat/>
    <w:pPr>
      <w:ind w:firstLine="360"/>
    </w:pPr>
    <w:rPr>
      <w:sz w:val="24"/>
      <w:szCs w:val="24"/>
      <w:lang w:val="en-GB" w:eastAsia="en-GB" w:bidi="en-GB"/>
    </w:rPr>
  </w:style>
  <w:style w:type="paragraph" w:styleId="HTML Keyboard1">
    <w:name w:val="HTML Keyboard1"/>
    <w:basedOn w:val="Normal"/>
    <w:next w:val="HTML Keyboard1"/>
    <w:qFormat/>
    <w:pPr/>
    <w:rPr>
      <w:sz w:val="24"/>
      <w:szCs w:val="24"/>
      <w:lang w:val="en-GB" w:eastAsia="en-GB" w:bidi="en-GB"/>
    </w:rPr>
  </w:style>
  <w:style w:type="paragraph" w:styleId="Default Text">
    <w:name w:val="Default Text"/>
    <w:basedOn w:val="Normal"/>
    <w:next w:val="Default Text"/>
    <w:qFormat/>
    <w:pPr/>
    <w:rPr>
      <w:color w:val="000000"/>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copek</dc:creator>
  <dcterms:created xsi:type="dcterms:W3CDTF">2023-05-31T10:05:00Z</dcterms:created>
</cp:coreProperties>
</file>