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81" w:line="271" w:lineRule="exact"/>
        <w:jc w:val="center"/>
        <w:rPr>
          <w:rFonts w:ascii="Arial" w:hAnsi="Arial" w:eastAsia="Arial" w:cs="Arial"/>
          <w:b/>
          <w:bCs/>
          <w:color w:val="000000"/>
          <w:lang w:val="en-US" w:eastAsia="en-US" w:bidi="en-US"/>
        </w:rPr>
      </w:pPr>
      <w:r>
        <w:rPr>
          <w:rFonts w:ascii="Arial" w:hAnsi="Arial" w:eastAsia="Arial" w:cs="Arial"/>
          <w:b/>
          <w:bCs/>
          <w:lang w:val="en-GB" w:eastAsia="en-GB" w:bidi="en-GB"/>
        </w:rPr>
        <w:t xml:space="preserve">Advice Worker (Take-Up), Grade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color w:val="000000"/>
          <w:lang w:val="en-US" w:eastAsia="en-US" w:bidi="en-US"/>
        </w:rPr>
        <w:t xml:space="preserve">Retained Advice Service, Adults’ Directorate </w:t>
        <w:br w:type="textWrapping"/>
      </w:r>
      <w:r>
        <w:rPr>
          <w:rFonts w:ascii="Arial" w:hAnsi="Arial" w:eastAsia="Arial" w:cs="Arial"/>
          <w:b/>
          <w:bCs/>
          <w:color w:val="000000"/>
          <w:lang w:val="en-US" w:eastAsia="en-US" w:bidi="en-US"/>
        </w:rPr>
        <w:t xml:space="preserve">Reports to: </w:t>
      </w:r>
      <w:r>
        <w:rPr>
          <w:rFonts w:ascii="Arial" w:hAnsi="Arial" w:eastAsia="Arial" w:cs="Arial"/>
          <w:b/>
          <w:bCs/>
          <w:lang w:val="en-GB" w:eastAsia="en-GB" w:bidi="en-GB"/>
        </w:rPr>
        <w:t xml:space="preserve">Service Manager (Advice)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with City Council colleagues, partner agencies and stakeholders to effectively manage and plan for present and future risk situations of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color w:val="000000"/>
          <w:shd w:val="clear" w:color="auto" w:fill="FFFFFF"/>
          <w:lang w:val="en-GB" w:eastAsia="en-GB" w:bidi="en-GB"/>
        </w:rPr>
        <w:t xml:space="preserve">The role holder will assess and </w:t>
      </w:r>
      <w:r>
        <w:rPr>
          <w:rStyle w:val="Emphasis"/>
          <w:rFonts w:ascii="Arial" w:hAnsi="Arial" w:eastAsia="Arial" w:cs="Arial"/>
          <w:i w:val="off"/>
          <w:iCs w:val="off"/>
          <w:color w:val="000000"/>
          <w:shd w:val="clear" w:color="auto" w:fill="FFFFFF"/>
          <w:lang w:val="en-GB" w:eastAsia="en-GB" w:bidi="en-GB"/>
        </w:rPr>
        <w:t xml:space="preserve">advocate for appropriate welfare benefit entitlement</w:t>
      </w:r>
      <w:r>
        <w:rPr>
          <w:rFonts w:ascii="Arial" w:hAnsi="Arial" w:eastAsia="Arial" w:cs="Arial"/>
          <w:color w:val="000000"/>
          <w:shd w:val="clear" w:color="auto" w:fill="FFFFFF"/>
          <w:lang w:val="en-GB" w:eastAsia="en-GB" w:bidi="en-GB"/>
        </w:rPr>
        <w:t xml:space="preserve"> </w:t>
      </w:r>
      <w:r>
        <w:rPr>
          <w:rFonts w:ascii="Arial" w:hAnsi="Arial" w:eastAsia="Arial" w:cs="Arial"/>
          <w:lang w:val="en-GB" w:eastAsia="en-GB" w:bidi="en-GB"/>
        </w:rPr>
        <w:t xml:space="preserve">to meet the individual needs of service users to promote 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supervise and develop students and trainees and actively contribute to the development of other staff.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In conjunction with partner agencies and stakeholders, effectively assess and plan service users’ individual needs to ensure positive outcomes for citizens accessing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Develop positive and effective solutions in all aspects of service delivery and engagement, focusing on the quality of outcomes for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color w:val="000000"/>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Efficiently maintain accurate and appropriate records in accordance with statutory targets and City Council, local and national policy and procedures to evidence achievement of service targets and improvements in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ssdefault"/>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post holder will be locality-based and will provide citizens in receipt of and being charged for care packages with expert, specialist advice on the complex rules determining entitlement to welfare benefits. A detailed analysis is required of the medical evidence on which DWP decisions rest, requiring an appraisal of multiple physical and mental health conditions, their symptoms and how these relate to the qualifying criteria for benefit entitlement. The post holder will need to understand and interpret extensive GP records, now freely available to citizens under GDPR, including all documented clinical findings, diagnoses, prognoses, test results and treatments in order to best advocate for the citizen. The post holder will also manage the citizen’s expectations as to what can be realistically achieved, which may not be all they first hoped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Creative solutions must be found to diverse presenting scenarios which are not within proscribed parameters.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post holder will have extensive knowledge of Acts of Parliament [statutes] containing rules for social security benefits and administration, along with Regulations which flesh out the law and provide the detail that determines the rules as laid down in the Acts. The post holder will need to keep abreast of case law which is created through decisions &amp; judgments made on points of law by the Upper Tribunal, Court of Appeal or the Supreme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post holder will advocate for citizens to secure justice by assisting, as required, with the form-filling and mandatory reconsideration stages of benefit claims, and by preparing for appeals, though actual representation in person at First Tier Tribunals will be referred on to our Appeals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lang w:val="en-GB" w:eastAsia="en-GB" w:bidi="en-GB"/>
        </w:rPr>
        <w:t xml:space="preserve">The role requires sensitive handling of multiple health and social issues relevant to the citizen’s case for benefit.  Distressing and upsetting issues are under scrutiny which can take its toll on the adviser so emotional resilience is required. Customers are at the heart of what we do as the task is to deliver a high-quality service which secures access to justice and maximises citizens’ available income through proper recourse to the welfare benefits system. This improves health and well-being, independence in the community and boosts the local economy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Advice Worker (Take-Up) -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complex information from a variety of sources. Ability to present information to the required standard using appropriate formats</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w:t>
      </w:r>
      <w:r>
        <w:rPr>
          <w:rFonts w:ascii="Arial" w:hAnsi="Arial" w:eastAsia="Arial" w:cs="Arial"/>
          <w:lang w:val="en-GB" w:eastAsia="en-GB" w:bidi="en-GB"/>
        </w:rPr>
        <w:t xml:space="preserve"> Shows the ability to effectively manage time to cater for conflicting demands, meeting deadlines, prioritising and allocating time according to task complexity and urgency. </w:t>
      </w:r>
    </w:p>
    <w:p>
      <w:pPr>
        <w:pStyle w:val="Table Text"/>
        <w:widowControl w:val="on"/>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left"/>
        <w:rPr>
          <w:lang w:val="en-GB" w:eastAsia="en-GB" w:bidi="en-GB"/>
        </w:rPr>
      </w:pPr>
      <w:r>
        <w:rPr>
          <w:b/>
          <w:bCs/>
          <w:lang w:val="en-GB" w:eastAsia="en-GB" w:bidi="en-GB"/>
        </w:rPr>
        <w:t xml:space="preserve">ICT Skills:</w:t>
      </w:r>
      <w:r>
        <w:rPr>
          <w:lang w:val="en-GB" w:eastAsia="en-GB" w:bidi="en-GB"/>
        </w:rPr>
        <w:t xml:space="preserve"> Ability to use multiple applications, systems and associated software packages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w:t>
      </w:r>
      <w:r>
        <w:rPr>
          <w:rFonts w:ascii="Arial" w:hAnsi="Arial" w:eastAsia="Arial" w:cs="Arial"/>
          <w:lang w:val="en-GB" w:eastAsia="en-GB" w:bidi="en-GB"/>
        </w:rPr>
        <w:t xml:space="preserve"> Demonstrates an understanding of the views of others and communicates in a realistic and practical manner using appropriate language and listens attentively to views and issues of others.  Ability to advise and put case across with ability to negotiate agreements.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Detailed knowledge of welfare benefits legislation, case law, policies, procedure and guidance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Willing and able to adopt a flexible approach to working hours and travelling away from base from time to time.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Must consent to and apply for a standard DBS disclosure check</w:t>
      </w:r>
    </w:p>
    <w:sectPr>
      <w:headerReference w:type="default" r:id="rId00013"/>
      <w:footerReference w:type="default" r:id="rId00014"/>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9779"/>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8470" cy="1728470"/>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1728470" cy="1728470"/>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9779"/>
        <w:tab w:val="left" w:pos="11520"/>
        <w:tab w:val="left" w:pos="12240"/>
        <w:tab w:val="left" w:pos="12960"/>
        <w:tab w:val="left" w:pos="13680"/>
        <w:tab w:val="left" w:pos="14400"/>
        <w:tab w:val="left" w:pos="15120"/>
        <w:tab w:val="left" w:pos="15840"/>
        <w:tab w:val="left" w:pos="16560"/>
        <w:tab w:val="left" w:pos="17280"/>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895350" cy="426720"/>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9"/>
                  <a:stretch>
                    <a:fillRect/>
                  </a:stretch>
                </pic:blipFill>
                <pic:spPr>
                  <a:xfrm>
                    <a:off x="0" y="0"/>
                    <a:ext cx="895350" cy="426720"/>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7275" cy="472440"/>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10"/>
                  <a:stretch>
                    <a:fillRect/>
                  </a:stretch>
                </pic:blipFill>
                <pic:spPr>
                  <a:xfrm>
                    <a:off x="0" y="0"/>
                    <a:ext cx="1057275" cy="472440"/>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1"/>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2875" cy="351790"/>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2"/>
                  <a:stretch>
                    <a:fillRect/>
                  </a:stretch>
                </pic:blipFill>
                <pic:spPr>
                  <a:xfrm>
                    <a:off x="0" y="0"/>
                    <a:ext cx="1412875" cy="351790"/>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-466725</wp:posOffset>
          </wp:positionH>
          <wp:positionV relativeFrom="paragraph">
            <wp:posOffset>0</wp:posOffset>
          </wp:positionV>
          <wp:extent cx="2143760" cy="77724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143760" cy="777240"/>
                  </a:xfrm>
                  <a:prstGeom prst="rect">
                    <a:avLst/>
                  </a:prstGeom>
                </pic:spPr>
              </pic:pic>
            </a:graphicData>
          </a:graphic>
        </wp:anchor>
      </w:drawing>
    </w:r>
  </w:p>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Table Text" w:customStyle="1">
    <w:name w:val="Table Text"/>
    <w:basedOn w:val="Normal"/>
    <w:next w:val="Table Text"/>
    <w:qFormat/>
    <w:pPr>
      <w:widowControl w:val="off"/>
      <w:jc w:val="right"/>
    </w:pPr>
    <w:rPr>
      <w:rFonts w:ascii="Arial" w:hAnsi="Arial" w:eastAsia="Arial" w:cs="Arial"/>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Emphasis">
    <w:name w:val="Emphasis"/>
    <w:qFormat/>
    <w:rPr>
      <w:i/>
      <w:iCs/>
      <w:rtl w:val="off"/>
    </w:rPr>
  </w:style>
  <w:style w:type="character" w:styleId="Header Char" w:customStyle="1">
    <w:name w:val="Header Char"/>
    <w:qFormat/>
    <w:rPr>
      <w:rtl w:val="off"/>
    </w:rPr>
  </w:style>
  <w:style w:type="character" w:styleId="Footer Char" w:customStyle="1">
    <w:name w:val="Footer Char"/>
    <w:qFormat/>
    <w:rPr>
      <w:rtl w:val="off"/>
    </w:rPr>
  </w:style>
  <w:style w:type="character" w:styleId="LineNumber">
    <w:name w:val="line number"/>
    <w:qFormat/>
    <w:rPr>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 Id="rId00009" Type="http://schemas.openxmlformats.org/officeDocument/2006/relationships/image" Target="media/image0004.png"/>
	<Relationship Id="rId00010" Type="http://schemas.openxmlformats.org/officeDocument/2006/relationships/image" Target="media/image0005.png"/>
	<Relationship Id="rId00011" Type="http://schemas.openxmlformats.org/officeDocument/2006/relationships/image" Target="media/image0006.png"/>
	<Relationship Id="rId00012"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2026-05-27T12:23:00Z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0x010100D8BF812CA9E5794280DAC7AD3A713CE8</vt:lpwstr>
  </property>
</Properties>
</file>