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Event Specialist,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The Neighbourhoods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Park Strategy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Corporate Organisational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This role will be a subject matter specialist providing expert advice and support to a range of stakeholders within a specialist area to enable the delivery of service and organisational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in partnership with stakeholders across the organisation and beyond to support decision making and operational service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research and be the source of intelligence within the specialist area, leading in the development, design, implementation and review of policies, procedures or strategies to ensure continuous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collaboratively to provide comprehensive and timely information and advice to stakeholders which meets customer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Maintain competence in subject matter specialism, undertaking research and information gathering to ensure the Council adopts and maintains best practice in areas of specialism, providing ad hoc advice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Deliver and, where appropriate lead, the implementation of assigned strategy and policy projects, in accordance with agreed time, quality, budget and other project performance criteria.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Oversee the collation of comprehensive management information and reports, ensuring these are produced accurately and consistently.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and manage relationships with other city council services and relevant partner agencies in order to challenge the way services are delivered and establish options for improving performance to ensure high quality of service delivery and cost effectiveness.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Effectively communicate highly complex and potentially challenging messages both verbally and in writing, ensuring balanced and proportionate responses which protect the authority’s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The roleholder will be expected to effectively co-ordinate resources to support the principals of ‘joined up’ response.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 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lang w:val="en-GB" w:eastAsia="en-GB" w:bidi="en-GB"/>
        </w:rPr>
        <w:br w:type="page"/>
      </w:r>
      <w:r>
        <w:rPr>
          <w:rFonts w:ascii="Arial" w:hAnsi="Arial" w:eastAsia="Arial" w:cs="Arial"/>
          <w:b/>
          <w:bCs/>
          <w:color w:val="222222"/>
          <w:lang w:val="en-GB" w:eastAsia="en-GB" w:bidi="en-GB"/>
        </w:rPr>
        <w:t xml:space="preserve">Parks,</w:t>
      </w:r>
      <w:r>
        <w:rPr>
          <w:rFonts w:ascii="Arial" w:hAnsi="Arial" w:eastAsia="Arial" w:cs="Arial"/>
          <w:color w:val="222222"/>
          <w:lang w:val="en-GB" w:eastAsia="en-GB" w:bidi="en-GB"/>
        </w:rPr>
        <w:t xml:space="preserve"> </w:t>
      </w:r>
      <w:r>
        <w:rPr>
          <w:rFonts w:ascii="Arial" w:hAnsi="Arial" w:eastAsia="Arial" w:cs="Arial"/>
          <w:b/>
          <w:bCs/>
          <w:color w:val="222222"/>
          <w:lang w:val="en-GB" w:eastAsia="en-GB" w:bidi="en-GB"/>
        </w:rPr>
        <w:t xml:space="preserve">Leisure and Events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b/>
          <w:bCs/>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222222"/>
          <w:lang w:val="en-GB" w:eastAsia="en-GB" w:bidi="en-GB"/>
        </w:rPr>
        <w:t xml:space="preserve">The Parks, Leisure and Events Service, sits within The Neighbourhoods Service, Neighbourhoods Directorate and </w:t>
      </w:r>
      <w:r>
        <w:rPr>
          <w:rFonts w:ascii="Arial" w:hAnsi="Arial" w:eastAsia="Arial" w:cs="Arial"/>
          <w:b/>
          <w:bCs/>
          <w:color w:val="222222"/>
          <w:lang w:val="en-GB" w:eastAsia="en-GB" w:bidi="en-GB"/>
        </w:rPr>
        <w:t xml:space="preserve"> </w:t>
      </w:r>
      <w:r>
        <w:rPr>
          <w:rFonts w:ascii="Arial" w:hAnsi="Arial" w:eastAsia="Arial" w:cs="Arial"/>
          <w:color w:val="222222"/>
          <w:lang w:val="en-GB" w:eastAsia="en-GB" w:bidi="en-GB"/>
        </w:rPr>
        <w:t xml:space="preserve">is responsible for delivering excellence across the City’s Parks and Greenspaces, providing access to high quality leisure and sport facilities as well as a range of world class sporting and cultural events.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boasts</w:t>
      </w:r>
      <w:r>
        <w:rPr>
          <w:rFonts w:ascii="Arial" w:hAnsi="Arial" w:eastAsia="Arial" w:cs="Arial"/>
          <w:color w:val="000000"/>
          <w:u w:val="single"/>
          <w:lang w:val="en-GB" w:eastAsia="en-GB" w:bidi="en-GB"/>
        </w:rPr>
        <w:fldChar w:fldCharType="begin"/>
      </w:r>
      <w:r>
        <w:rPr>
          <w:rFonts w:ascii="Arial" w:hAnsi="Arial" w:eastAsia="Arial" w:cs="Arial"/>
          <w:color w:val="000000"/>
          <w:u w:val="single"/>
          <w:lang w:val="en-GB" w:eastAsia="en-GB" w:bidi="en-GB"/>
        </w:rPr>
        <w:instrText xml:space="preserve"> HYPERLINK "http://www.manchester.gov.uk/directory/46/parks_and_open_spaces/category/301" </w:instrText>
      </w:r>
      <w:r>
        <w:rPr>
          <w:rFonts w:ascii="Arial" w:hAnsi="Arial" w:eastAsia="Arial" w:cs="Arial"/>
          <w:color w:val="000000"/>
          <w:u w:val="single"/>
          <w:lang w:val="en-GB" w:eastAsia="en-GB" w:bidi="en-GB"/>
        </w:rPr>
        <w:fldChar w:fldCharType="separate"/>
      </w:r>
      <w:r>
        <w:rPr>
          <w:rFonts w:ascii="Arial" w:hAnsi="Arial" w:eastAsia="Arial" w:cs="Arial"/>
          <w:color w:val="000000"/>
          <w:u w:val="single"/>
          <w:lang w:val="en-GB" w:eastAsia="en-GB" w:bidi="en-GB"/>
        </w:rPr>
        <w:t xml:space="preserve"> over 140 parks and open spaces, 43 allotment sites and three river valleys</w:t>
      </w:r>
      <w:r>
        <w:rPr>
          <w:rFonts w:ascii="Arial" w:hAnsi="Arial" w:eastAsia="Arial" w:cs="Arial"/>
          <w:color w:val="000000"/>
          <w:lang w:val="en-GB" w:eastAsia="en-GB" w:bidi="en-GB"/>
        </w:rPr>
        <w:fldChar w:fldCharType="end"/>
      </w:r>
      <w:r>
        <w:rPr>
          <w:rFonts w:ascii="Arial" w:hAnsi="Arial" w:eastAsia="Arial" w:cs="Arial"/>
          <w:color w:val="000000"/>
          <w:lang w:val="en-GB" w:eastAsia="en-GB" w:bidi="en-GB"/>
        </w:rPr>
        <w:t xml:space="preserve">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team work closely with a range of other areas of the organisation, to deliver and maintain consistently high standards across the city and to ensure that community groups are activated to fully utilise our parks and open spaces.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b/>
          <w:bCs/>
          <w:color w:val="222222"/>
          <w:lang w:val="en-GB" w:eastAsia="en-GB" w:bidi="en-GB"/>
        </w:rPr>
        <w:t xml:space="preserve">Manchester's Park Strategy 2017-2027</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In December 2017 a ten 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color w:val="000000"/>
          <w:lang w:val="en-GB" w:eastAsia="en-GB" w:bidi="en-GB"/>
        </w:rPr>
        <w:t xml:space="preserve"> </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230"/>
        <w:jc w:val="both"/>
        <w:rPr>
          <w:color w:val="000000"/>
          <w:lang w:val="en-GB" w:eastAsia="en-GB" w:bidi="en-GB"/>
        </w:rPr>
      </w:pPr>
      <w:r>
        <w:rPr>
          <w:rFonts w:ascii="Arial" w:hAnsi="Arial" w:eastAsia="Arial" w:cs="Arial"/>
          <w:color w:val="000000"/>
          <w:lang w:val="en-GB" w:eastAsia="en-GB" w:bidi="en-GB"/>
        </w:rPr>
        <w:t xml:space="preserve">Communication - proactively sharing information, having regular conversations, and ensuring the information available online and through social media is of a good quality and accessible.</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230"/>
        <w:jc w:val="both"/>
        <w:rPr>
          <w:color w:val="000000"/>
          <w:lang w:val="en-GB" w:eastAsia="en-GB" w:bidi="en-GB"/>
        </w:rPr>
      </w:pPr>
      <w:r>
        <w:rPr>
          <w:rFonts w:ascii="Arial" w:hAnsi="Arial" w:eastAsia="Arial" w:cs="Arial"/>
          <w:color w:val="000000"/>
          <w:lang w:val="en-GB" w:eastAsia="en-GB" w:bidi="en-GB"/>
        </w:rPr>
        <w:t xml:space="preserve">Enabling - supporting our residents and stakeholders to deliver shared goals.</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230"/>
        <w:jc w:val="both"/>
        <w:rPr>
          <w:color w:val="000000"/>
          <w:lang w:val="en-GB" w:eastAsia="en-GB" w:bidi="en-GB"/>
        </w:rPr>
      </w:pPr>
      <w:r>
        <w:rPr>
          <w:rFonts w:ascii="Arial" w:hAnsi="Arial" w:eastAsia="Arial" w:cs="Arial"/>
          <w:color w:val="000000"/>
          <w:lang w:val="en-GB" w:eastAsia="en-GB" w:bidi="en-GB"/>
        </w:rPr>
        <w:t xml:space="preserve">Clean, green and safe - providing Parks and open spaces that are of a high quality and that people feel safe to use.</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230"/>
        <w:jc w:val="both"/>
        <w:rPr>
          <w:color w:val="222222"/>
          <w:lang w:val="en-GB" w:eastAsia="en-GB" w:bidi="en-GB"/>
        </w:rPr>
      </w:pPr>
      <w:r>
        <w:rPr>
          <w:rFonts w:ascii="Arial" w:hAnsi="Arial" w:eastAsia="Arial" w:cs="Arial"/>
          <w:color w:val="000000"/>
          <w:lang w:val="en-GB" w:eastAsia="en-GB" w:bidi="en-GB"/>
        </w:rPr>
        <w:t xml:space="preserve">Commercial -  maximise opportunities to generate income, building on existing good practice, and in turn support the delivery of a good visitor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Park Strategy concentrates our future actions around four themes:</w:t>
      </w:r>
    </w:p>
    <w:p>
      <w:pPr>
        <w:pStyle w:val="Normal"/>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3"/>
        <w:jc w:val="both"/>
        <w:rPr>
          <w:color w:val="000000"/>
          <w:lang w:val="en-GB" w:eastAsia="en-GB" w:bidi="en-GB"/>
        </w:rPr>
      </w:pPr>
      <w:r>
        <w:rPr>
          <w:color w:val="000000"/>
          <w:lang w:val="en-GB" w:eastAsia="en-GB" w:bidi="en-GB"/>
        </w:rPr>
        <w:t xml:space="preserve"> </w:t>
      </w:r>
    </w:p>
    <w:p>
      <w:pPr>
        <w:pStyle w:val="Normal"/>
        <w:numPr>
          <w:ilvl w:val="0"/>
          <w:numId w:val="2"/>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3"/>
        <w:jc w:val="both"/>
        <w:rPr>
          <w:color w:val="000000"/>
          <w:lang w:val="en-GB" w:eastAsia="en-GB" w:bidi="en-GB"/>
        </w:rPr>
      </w:pPr>
      <w:r>
        <w:rPr>
          <w:rFonts w:ascii="Arial" w:hAnsi="Arial" w:eastAsia="Arial" w:cs="Arial"/>
          <w:color w:val="000000"/>
          <w:lang w:val="en-GB" w:eastAsia="en-GB" w:bidi="en-GB"/>
        </w:rPr>
        <w:t xml:space="preserve">Parks at the heart of Neighbourhoods - this is about what there is and where it is, ensuring every community is provided for.</w:t>
      </w:r>
    </w:p>
    <w:p>
      <w:pPr>
        <w:pStyle w:val="Normal"/>
        <w:numPr>
          <w:ilvl w:val="0"/>
          <w:numId w:val="2"/>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3"/>
        <w:jc w:val="both"/>
        <w:rPr>
          <w:color w:val="000000"/>
          <w:lang w:val="en-GB" w:eastAsia="en-GB" w:bidi="en-GB"/>
        </w:rPr>
      </w:pPr>
      <w:r>
        <w:rPr>
          <w:rFonts w:ascii="Arial" w:hAnsi="Arial" w:eastAsia="Arial" w:cs="Arial"/>
          <w:color w:val="000000"/>
          <w:lang w:val="en-GB" w:eastAsia="en-GB" w:bidi="en-GB"/>
        </w:rPr>
        <w:t xml:space="preserve">Vibrant parks, vibrant communities - this is about what will happen in our parks.</w:t>
      </w:r>
    </w:p>
    <w:p>
      <w:pPr>
        <w:pStyle w:val="Normal"/>
        <w:numPr>
          <w:ilvl w:val="0"/>
          <w:numId w:val="2"/>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3"/>
        <w:jc w:val="both"/>
        <w:rPr>
          <w:color w:val="000000"/>
          <w:lang w:val="en-GB" w:eastAsia="en-GB" w:bidi="en-GB"/>
        </w:rPr>
      </w:pPr>
      <w:r>
        <w:rPr>
          <w:rFonts w:ascii="Arial" w:hAnsi="Arial" w:eastAsia="Arial" w:cs="Arial"/>
          <w:color w:val="000000"/>
          <w:lang w:val="en-GB" w:eastAsia="en-GB" w:bidi="en-GB"/>
        </w:rPr>
        <w:t xml:space="preserve">A Manchester quality standard - this is about looking after our parks.  </w:t>
      </w:r>
    </w:p>
    <w:p>
      <w:pPr>
        <w:pStyle w:val="Normal"/>
        <w:numPr>
          <w:ilvl w:val="0"/>
          <w:numId w:val="2"/>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3"/>
        <w:jc w:val="both"/>
        <w:rPr>
          <w:color w:val="000000"/>
          <w:lang w:val="en-GB" w:eastAsia="en-GB" w:bidi="en-GB"/>
        </w:rPr>
      </w:pPr>
      <w:r>
        <w:rPr>
          <w:rFonts w:ascii="Arial" w:hAnsi="Arial" w:eastAsia="Arial" w:cs="Arial"/>
          <w:color w:val="000000"/>
          <w:lang w:val="en-GB" w:eastAsia="en-GB" w:bidi="en-GB"/>
        </w:rPr>
        <w:t xml:space="preserve">Productive parks in partnership - this is about the resources needed to make the vision a reality.</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Parks Team need to deal with the challenges of today, whilst ensuring that the foundations are being laid to deliver the actions of the ten year strategy.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b/>
          <w:bCs/>
          <w:color w:val="000000"/>
          <w:lang w:val="en-GB" w:eastAsia="en-GB" w:bidi="en-GB"/>
        </w:rPr>
        <w:t xml:space="preserve">The Park Strategy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This team will be the experts to guide and support the Core and Heaton Park teams.  They will have a very specific focus for what and where they will deliver.  There is a real emphasis on this team supporting the commercial aspiration of the service by identifying opportunities for new commercial activity, in the programme of events and new or reimagined facilities.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There will be functions to ensure that the contracts are being set out and managed to get the best outcomes and that the marketing is appropriate to ensure that the right audience is targeted.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This team will focus on contracts, tenders, performance, data, programme, events, volunteering, education, audience development, urban countryside &amp; river valleys and allotments.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eop"/>
          <w:rFonts w:ascii="Arial" w:hAnsi="Arial" w:eastAsia="Arial" w:cs="Arial"/>
          <w:color w:val="000000"/>
          <w:lang w:val="en-GB" w:eastAsia="en-GB" w:bidi="en-GB"/>
        </w:rPr>
      </w:pPr>
      <w:r>
        <w:rPr>
          <w:rStyle w:val="normaltextrun"/>
          <w:rFonts w:ascii="Arial" w:hAnsi="Arial" w:eastAsia="Arial" w:cs="Arial"/>
          <w:b/>
          <w:bCs/>
          <w:color w:val="000000"/>
          <w:shd w:val="clear" w:color="auto" w:fill="FFFFFF"/>
          <w:lang w:val="en-GB" w:eastAsia="en-GB" w:bidi="en-GB"/>
        </w:rPr>
        <w:t xml:space="preserve">Event Specialist</w:t>
      </w:r>
      <w:r>
        <w:rPr>
          <w:rStyle w:val="normaltextrun"/>
          <w:rFonts w:ascii="Arial" w:hAnsi="Arial" w:eastAsia="Arial" w:cs="Arial"/>
          <w:color w:val="000000"/>
          <w:shd w:val="clear" w:color="auto" w:fill="FFFFFF"/>
          <w:lang w:val="en-GB" w:eastAsia="en-GB" w:bidi="en-GB"/>
        </w:rPr>
        <w:t xml:space="preserve"> - This role will focus on the management of major events, identifying new opportunities and building relationships with event organisers to ensure that we are taking advantage of the growing industry of events in greenfield settings.  The role holder will work closely with the Core Team and events staff in the Heaton Park Team to ensure that we offer consistently high quality event settings.  This post will report to the Strategy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eop"/>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lang w:val="en-GB" w:eastAsia="en-GB" w:bidi="en-GB"/>
        </w:rPr>
        <w:t xml:space="preserve">Flexibility to work unsocial hours, including weekends and evenings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after="280"/>
        <w:rPr>
          <w:rFonts w:ascii="Arial" w:hAnsi="Arial" w:eastAsia="Arial" w:cs="Arial"/>
          <w:lang w:val="en-GB" w:eastAsia="en-GB" w:bidi="en-GB"/>
        </w:rPr>
      </w:pPr>
      <w:r>
        <w:rPr>
          <w:rFonts w:ascii="Arial" w:hAnsi="Arial" w:eastAsia="Arial" w:cs="Arial"/>
          <w:lang w:val="en-GB" w:eastAsia="en-GB" w:bidi="en-GB"/>
        </w:rPr>
        <w:t xml:space="preserve">Willingness to apply for a DBS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River Valleys and Urban Countryside Officer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p>
    <w:p>
      <w:pPr>
        <w:pStyle w:val="Norma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firstLine="709"/>
        <w:jc w:val="both"/>
        <w:rPr>
          <w:rFonts w:ascii="Arial" w:hAnsi="Arial" w:eastAsia="Arial" w:cs="Arial"/>
          <w:lang w:val="en-GB" w:eastAsia="en-GB" w:bidi="en-GB"/>
        </w:rPr>
      </w:pP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222222"/>
        </w:rPr>
        <w:t xml:space="preserve">We are proud and passionate about Manchester </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take time to listen and understand  </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‘own it’ and we’re not afraid to try new things   </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color w:val="000000"/>
        </w:rPr>
      </w:pPr>
      <w:r>
        <w:rPr>
          <w:color w:val="000000"/>
        </w:rPr>
        <w:t xml:space="preserve">We work together and trust each other </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color w:val="000000"/>
        </w:rPr>
        <w:t xml:space="preserve">We show that we value our differences and treat people fairly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Ability to negotiate difficult agreements with wide impact; ability to influence or persuade internal or external stakeholders.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Project Management:</w:t>
      </w:r>
      <w:r>
        <w:rPr>
          <w:rFonts w:ascii="Arial" w:hAnsi="Arial" w:eastAsia="Arial" w:cs="Arial"/>
          <w:lang w:val="en-GB" w:eastAsia="en-GB" w:bidi="en-GB"/>
        </w:rPr>
        <w:t xml:space="preserve"> Proven ability to influence, monitor and control the risk environment, both strategic and operational, through effective allocation of roles and responsibilities.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think laterally and take into account the root cause of a problem and the client / organisation -wide consequence of decisions made.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Financial Management:</w:t>
      </w:r>
      <w:r>
        <w:rPr>
          <w:rFonts w:ascii="Arial" w:hAnsi="Arial" w:eastAsia="Arial" w:cs="Arial"/>
          <w:lang w:val="en-GB" w:eastAsia="en-GB" w:bidi="en-GB"/>
        </w:rPr>
        <w:t xml:space="preserve"> Ability to monitor and maintain expenditure, ensuring that financial targets are met, and being accountable for any areas where budget and expenditure exceed their agreed tolerances.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Commercial Skills:</w:t>
      </w:r>
      <w:r>
        <w:rPr>
          <w:rFonts w:ascii="Arial" w:hAnsi="Arial" w:eastAsia="Arial" w:cs="Arial"/>
          <w:lang w:val="en-GB" w:eastAsia="en-GB" w:bidi="en-GB"/>
        </w:rPr>
        <w:t xml:space="preserve"> Demonstrates sound business intelligence and ability to identify commercially viable opportunities and secure value for money in service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b/>
          <w:bCs/>
          <w:lang w:val="en-GB" w:eastAsia="en-GB" w:bidi="en-GB"/>
        </w:rPr>
        <w:t xml:space="preserve">People Management:</w:t>
      </w:r>
      <w:r>
        <w:rPr>
          <w:rFonts w:ascii="Arial" w:hAnsi="Arial" w:eastAsia="Arial" w:cs="Arial"/>
          <w:lang w:val="en-GB" w:eastAsia="en-GB" w:bidi="en-GB"/>
        </w:rPr>
        <w:t xml:space="preserve"> 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31"/>
        <w:jc w:val="both"/>
        <w:rPr>
          <w:rFonts w:ascii="Arial" w:hAnsi="Arial" w:eastAsia="Arial" w:cs="Arial"/>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Extensive knowledge of the events sector.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sectPr>
      <w:headerReference w:type="default" r:id="rId00006"/>
      <w:footerReference w:type="default" r:id="rId00007"/>
      <w:pgSz w:w="11906" w:h="16838"/>
      <w:pgMar w:top="1021" w:right="1077" w:bottom="1077" w:left="1021" w:header="709" w:footer="709"/>
      <w:pgNumType w:start="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4002EFF" w:usb1="C000247B" w:usb2="00000009" w:usb3="00000000" w:csb0="200001FF" w:csb1="00000000"/>
  </w:font>
  <w:font w:name="Noto Sans Symbols">
    <w:charset w:val="00"/>
    <w:family w:val="auto"/>
    <w:pitch w:val="default"/>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060" cy="42608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1060" cy="426085"/>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940" w:hanging="230"/>
        <w:tabs>
          <w:tab w:val="num" w:pos="940"/>
        </w:tabs>
      </w:pPr>
      <w:rPr>
        <w:rFonts w:hint="default" w:ascii="Noto Sans Symbols" w:hAnsi="Noto Sans Symbols" w:eastAsia="Noto Sans Symbols" w:cs="Noto Sans Symbols"/>
        <w:b w:val="off"/>
        <w:i w:val="off"/>
        <w:strike w:val="off"/>
        <w:color w:val="000000"/>
        <w:position w:val="0"/>
        <w:sz w:val="20"/>
        <w:u w:val="none"/>
        <w:shd w:val="clear" w:color="auto" w:fill="auto"/>
      </w:rPr>
    </w:lvl>
  </w:abstractNum>
  <w:abstractNum w:abstractNumId="1">
    <w:multiLevelType w:val="singleLevel"/>
    <w:lvl w:ilvl="0">
      <w:start w:val="1"/>
      <w:numFmt w:val="bullet"/>
      <w:suff w:val="tab"/>
      <w:lvlText w:val="●"/>
      <w:pPr>
        <w:ind w:left="993" w:hanging="283"/>
        <w:tabs>
          <w:tab w:val="num" w:pos="993"/>
        </w:tabs>
      </w:pPr>
      <w:rPr>
        <w:rFonts w:hint="default" w:ascii="Noto Sans Symbols" w:hAnsi="Noto Sans Symbols" w:eastAsia="Noto Sans Symbols" w:cs="Noto Sans Symbols"/>
        <w:b w:val="off"/>
        <w:i w:val="off"/>
        <w:strike w:val="off"/>
        <w:color w:val="000000"/>
        <w:position w:val="0"/>
        <w:sz w:val="20"/>
        <w:u w:val="none"/>
        <w:shd w:val="clear" w:color="auto" w:fill="auto"/>
      </w:rPr>
    </w:lvl>
  </w:abstractNum>
  <w:abstractNum w:abstractNumId="2">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3">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character" w:styleId="normaltextrun">
    <w:name w:val="normaltextrun"/>
    <w:qFormat/>
    <w:rPr>
      <w:rtl w:val="off"/>
    </w:rPr>
  </w:style>
  <w:style w:type="character" w:styleId="eop">
    <w:name w:val="eop"/>
    <w:qFormat/>
    <w:rPr>
      <w:rtl w:val="off"/>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2023-06-13T13:59:00Z</dcterms:created>
</cp:coreProperties>
</file>