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Social Care Assessor: Grade 6</w:t>
      </w:r>
      <w:bookmarkStart w:id="1" w:name="_gjdgxs"/>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Preparation for Adulthood Team, Adult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help to deliver timely transition planning for young people between the ages of 16 to 25 transitioning from children’s to adult services, carrying out Care Act Assessments and developing support plans alongside their families and carers, children’s services, education and health professionals, with an emphasis on preparing for adulthood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4"/>
          <w:szCs w:val="24"/>
          <w:lang w:val="en-GB" w:eastAsia="en-GB" w:bidi="en-GB"/>
        </w:rPr>
      </w:pPr>
      <w:r>
        <w:rPr>
          <w:sz w:val="24"/>
          <w:szCs w:val="24"/>
          <w:lang w:val="en-GB" w:eastAsia="en-GB" w:bidi="en-GB"/>
        </w:rPr>
        <w:t xml:space="preserve">To assess the individual’s needs and ensure positive outcomes, with a focus on preparing for adulthood outcomes.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all records, processes and systems are up to date and maintained to assist with data collection and performance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The Social Care Assessor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lang w:val="en-GB" w:eastAsia="en-GB" w:bidi="en-GB"/>
        </w:rPr>
      </w:pP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be based in the Preparation for Adulthood service. We are a citywide team that collaborates with young people and their networks to create a personalised plan that addresses the individual’s specific needs, goals, and aspirations as they move into adulthood. The service is also referred to as the ‘Transition Service’ used to describe the transfer of care and support for vulnerable young people from Children’s Social Care to Adult’s Social Care. The aim is to ensure a seamless transition, providing necessary support and services during this important life stage.</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Social Care Assessor will be responsible for undertaking holistic Care Act 2014 assessments. The role holder will undertake home visits and carry out holistic strengths-based observations and assessments of citizens to support a determination of social care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u w:val="single"/>
          <w:lang w:val="en-GB" w:eastAsia="en-GB" w:bidi="en-GB"/>
        </w:rPr>
      </w:pPr>
      <w:r>
        <w:rPr>
          <w:rFonts w:ascii="Arial" w:hAnsi="Arial" w:eastAsia="Arial" w:cs="Arial"/>
          <w:color w:val="000000"/>
          <w:u w:val="single"/>
          <w:lang w:val="en-GB" w:eastAsia="en-GB" w:bidi="en-GB"/>
        </w:rPr>
        <w:t xml:space="preserve">Key Responsibilities will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Arranging timely support considering reablement, considering packages of care, short breaks, carer assessments, equipment and minor adaptations to support independent living, assistive technology and support carers and family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Advising citizens and referring them to appropriate services based on the observation and assessment completed, ensuring that the provision of services supports citizens maximise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Establishing rapport with citizens and working proactively with appropriate stakeholders to assess the individual’s needs and support positive outcomes for citizens.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lang w:val="en-GB" w:eastAsia="en-GB" w:bidi="en-GB"/>
        </w:rPr>
      </w:pPr>
      <w:r>
        <w:rPr>
          <w:color w:val="000000"/>
          <w:sz w:val="24"/>
          <w:szCs w:val="24"/>
          <w:lang w:val="en-GB" w:eastAsia="en-GB" w:bidi="en-GB"/>
        </w:rPr>
        <w:t xml:space="preserve">Complete strengths based holistic assessments and observations, identifying and arranging appropriate adult services to meet the needs of the citizen.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Identifying safeguarding and mental capacity issues and making referrals as appropriate; assisting in investigations of allegations of any form of abuse to vulnerable adults.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color w:val="000000"/>
          <w:sz w:val="24"/>
          <w:szCs w:val="24"/>
          <w:lang w:val="en-GB" w:eastAsia="en-GB" w:bidi="en-GB"/>
        </w:rPr>
        <w:t xml:space="preserve">Actively participating in new initiatives and future changes intended to improve service delivery.</w:t>
      </w: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US" w:eastAsia="en-US" w:bidi="en-US"/>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 and responds to issues arising</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US" w:eastAsia="en-US" w:bidi="en-US"/>
        </w:rPr>
        <w:t xml:space="preserve">Analytical Skills: </w:t>
      </w:r>
      <w:r>
        <w:rPr>
          <w:rFonts w:ascii="Arial" w:hAnsi="Arial" w:eastAsia="Arial" w:cs="Arial"/>
          <w:lang w:val="en-US" w:eastAsia="en-US" w:bidi="en-US"/>
        </w:rPr>
        <w:t xml:space="preserve">Ability to absorb, understand and quickly assimilate complex information and compare information from a number of different sources. </w:t>
      </w:r>
      <w:r>
        <w:rPr>
          <w:rFonts w:ascii="Arial" w:hAnsi="Arial" w:eastAsia="Arial" w:cs="Arial"/>
          <w:lang w:val="en-GB" w:eastAsia="en-GB" w:bidi="en-GB"/>
        </w:rPr>
        <w:t xml:space="preserve">Able and confident to resolve moderately complicated queries in their area of knowledge using logical thinking to explain reasoning behind decisions or actions taken.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Ability to organise own time effectively, creating own work schedules, prioritising, preparing in advance and setting realistic timescales. Has the ability to visualise a sequence of actions needed to achieve a specific goal and how to estimate the resources required. Ability to maintain sound judgement under competing priorities and pressure.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IT Skills: </w:t>
      </w:r>
      <w:r>
        <w:rPr>
          <w:rFonts w:ascii="Arial" w:hAnsi="Arial" w:eastAsia="Arial" w:cs="Arial"/>
          <w:lang w:val="en-GB" w:eastAsia="en-GB" w:bidi="en-GB"/>
        </w:rPr>
        <w:t xml:space="preserve">Ability to use ICT systems to obtain and analyse data and present it effectively through a variety of ICT channels.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Is able to make effective decisions on a day-to-day basis, taking ownership of decisions, demonstrating sound judgement in escalating issues where necessary. Be logical in their thinking and explain reasoning behind decisions or actions taken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Hold or willing to undertake and achieve NVQ Level 4 in Health and Social Care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Consent to and apply for an enhanced Disclosure and Barring Service (DBS)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9"/>
      <w:footerReference w:type="default" r:id="rId00010"/>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-1270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7">
    <w:name w:val="heading 7"/>
    <w:basedOn w:val="Normal"/>
    <w:next w:val="Normal"/>
    <w:qFormat/>
    <w:pPr>
      <w:keepNext/>
      <w:keepLines/>
      <w:spacing w:before="40"/>
      <w:outlineLvl w:val="6"/>
    </w:pPr>
    <w:rPr>
      <w:rFonts w:ascii="Calibri" w:hAnsi="Calibri" w:eastAsia="Calibri" w:cs="Calibri"/>
      <w:i/>
      <w:iCs/>
      <w:color w:val="243F61"/>
      <w:lang w:val="en-GB" w:eastAsia="en-GB" w:bidi="en-GB"/>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NormalWeb">
    <w:name w:val="Normal (Web)"/>
    <w:basedOn w:val="Normal"/>
    <w:next w:val="NormalWeb"/>
    <w:qFormat/>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character" w:styleId="Body Text Char" w:customStyle="1">
    <w:name w:val="Body Text Char"/>
    <w:qFormat/>
    <w:rPr>
      <w:rFonts w:ascii="Arial" w:hAnsi="Arial" w:eastAsia="Arial" w:cs="Arial"/>
      <w:sz w:val="20"/>
      <w:szCs w:val="20"/>
      <w:rtl w:val="off"/>
    </w:rPr>
  </w:style>
  <w:style w:type="character" w:styleId="Heading 7 Char" w:customStyle="1">
    <w:name w:val="Heading 7 Char"/>
    <w:qFormat/>
    <w:rPr>
      <w:rFonts w:ascii="Calibri" w:hAnsi="Calibri" w:eastAsia="Calibri" w:cs="Calibri"/>
      <w:i/>
      <w:iCs/>
      <w:color w:val="243F61"/>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Ohigana Otache</dc:creator>
  <dcterms:created xsi:type="dcterms:W3CDTF">2025-03-31T14:24:00Z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ies>
</file>