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Occupational Therapist (Reablement), Reablement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Level 2,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Reports to: Occupational Therapy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color w:val="000000"/>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lead the effective development of partnership approaches in order to safeguard individuals through the effective management of safeguarding risk and the recording and sharing of information.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ensure that through effective advice, planning and support and the utilisation of ‘joined up’ approaches, individuals are able to access services appropriate for their identified needs.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support the leadership of the team and service through the provision of advice</w:t>
      </w:r>
      <w:r>
        <w:rPr>
          <w:rFonts w:ascii="Arial" w:hAnsi="Arial" w:eastAsia="Arial" w:cs="Arial"/>
          <w:lang w:val="en-GB" w:eastAsia="en-GB" w:bidi="en-GB"/>
        </w:rPr>
        <w:t xml:space="preserve">, mentoring and supervision to colleagues, contributing to the ongoing development of staff, students, apprentice's and trainees.</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rFonts w:ascii="Arial" w:hAnsi="Arial" w:eastAsia="Arial" w:cs="Arial"/>
          <w:b/>
          <w:bCs/>
          <w:u w:val="single"/>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residents'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Proactively establish, develop and maintain relationships with partner agencies and stakeholders to provide individuals with the opportunity to access suitable services which will assist them in achieving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has a disability,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r>
        <w:rPr>
          <w:rFonts w:ascii="Arial" w:hAnsi="Arial" w:eastAsia="Arial" w:cs="Arial"/>
          <w:b/>
          <w:bCs/>
          <w:color w:val="000000"/>
          <w:u w:val="single"/>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includes but is not limited to the following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with individuals to assess their strengths and needs, providing reablement-focused interventions supporting them to achieve their goals through tailored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Using a strength-based approach, we work with people in their own homes and communities, on a short-term basis, to maximise independence with a variety of daily living tasks including maintaining personal hygiene, preparing food, accessing community resources and managing day to day risks. The support provided ranges from motivation and confidence building to more practical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Reablement is part of the wider Manchester Community Response (MCR) service which also includes Discharge to Assess, Crisis Response and Intermediate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The role holder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Support with the clinical day-to-day supervision and mentoring of level 1 Occupational Therapists, Occupational Therapy students &amp; apprentices within the Reablement team.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Provide expert support and guidance, support with quality assurance and evaluate the day-to-day practice of level 1 occupational therapists and other reablement team members.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Support, advise and provide guidance to Reablement support workers and other MCC staff.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Promote, develop and demonstrate high quality occupational therapy practice within reablement.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Effectively manage a large and varied caseload including complex and challenging cases.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Assess for and recommend minor and some major adaptations.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Plan, co-ordinate and deliver training, sharing your expert knowledge and experience with the reablement team, supporting the development of the reablement staff.</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Have an excellent awareness of safeguarding in line with Manchester policy, including making referrals and participation in safeguarding investigations.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Work as part of the wider multi-disciplinary MCR team supporting individuals on the Reablement pathway.</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Undertake functional, holistic, strengths b</w:t>
      </w:r>
      <w:r>
        <w:rPr>
          <w:rFonts w:ascii="Arial" w:hAnsi="Arial" w:eastAsia="Arial" w:cs="Arial"/>
          <w:lang w:val="en-GB" w:eastAsia="en-GB" w:bidi="en-GB"/>
        </w:rPr>
        <w:t xml:space="preserve">ased occupational therapy assessments and implement creative and tailored reablement plans enabling customers to meet their goals and reduce or remove the need for ongoing support or long-term care.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Contribute to goal setting and support planning.</w:t>
      </w:r>
    </w:p>
    <w:p>
      <w:pPr>
        <w:pStyle w:val="ListParagraph"/>
        <w:numPr>
          <w:ilvl w:val="0"/>
          <w:numId w:val="2"/>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Plan, implement and evaluate short term interventions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lang w:val="en-GB" w:eastAsia="en-GB" w:bidi="en-GB"/>
        </w:rPr>
      </w:pPr>
      <w:r>
        <w:rPr>
          <w:rFonts w:ascii="Arial" w:hAnsi="Arial" w:eastAsia="Arial" w:cs="Arial"/>
          <w:lang w:val="en-GB" w:eastAsia="en-GB" w:bidi="en-GB"/>
        </w:rPr>
        <w:t xml:space="preserve">Promote and facilitate good moving and handling practice including risk assessments, handling plans and training for individuals, families and reablement support workers.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360" w:hanging="360"/>
        <w:jc w:val="both"/>
        <w:rPr>
          <w:rFonts w:ascii="Arial" w:hAnsi="Arial" w:eastAsia="Arial" w:cs="Arial"/>
          <w:lang w:val="en-GB" w:eastAsia="en-GB" w:bidi="en-GB"/>
        </w:rPr>
      </w:pPr>
      <w:r>
        <w:rPr>
          <w:rFonts w:ascii="Arial" w:hAnsi="Arial" w:eastAsia="Arial" w:cs="Arial"/>
          <w:lang w:val="en-GB" w:eastAsia="en-GB" w:bidi="en-GB"/>
        </w:rPr>
        <w:t xml:space="preserve">Have knowledge of providing reablement intervention to individuals with different needs including those with learning difficulties, autism and mental health conditions.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360" w:hanging="360"/>
        <w:jc w:val="both"/>
        <w:rPr>
          <w:rFonts w:ascii="Arial" w:hAnsi="Arial" w:eastAsia="Arial" w:cs="Arial"/>
          <w:lang w:val="en-GB" w:eastAsia="en-GB" w:bidi="en-GB"/>
        </w:rPr>
      </w:pPr>
      <w:r>
        <w:rPr>
          <w:rFonts w:ascii="Arial" w:hAnsi="Arial" w:eastAsia="Arial" w:cs="Arial"/>
          <w:lang w:val="en-GB" w:eastAsia="en-GB" w:bidi="en-GB"/>
        </w:rPr>
        <w:t xml:space="preserve">Experience of managing junior staff desirable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pBdr>
          <w:top w:val="single" w:sz="4" w:space="1" w:color="FF0000"/>
          <w:left w:val="single" w:sz="4" w:space="1" w:color="FF0000"/>
          <w:bottom w:val="single" w:sz="4" w:space="1" w:color="FF0000"/>
          <w:right w:val="single" w:sz="4" w:space="1" w:color="FF0000"/>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ListParagraph"/>
        <w:numPr>
          <w:ilvl w:val="0"/>
          <w:numId w:val="3"/>
        </w:numPr>
        <w:shd w:val="clear" w:color="auto" w:fill="FFFFFF"/>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FF0000"/>
          <w:left w:val="single" w:sz="4" w:space="1" w:color="FF0000"/>
          <w:bottom w:val="single" w:sz="4" w:space="1" w:color="FF0000"/>
          <w:right w:val="single" w:sz="4" w:space="1" w:color="FF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
        <w:jc w:val="both"/>
        <w:rPr>
          <w:rFonts w:ascii="Arial" w:hAnsi="Arial" w:eastAsia="Arial" w:cs="Arial"/>
          <w:lang w:val="en-GB" w:eastAsia="en-GB" w:bidi="en-GB"/>
        </w:rPr>
      </w:pP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Ability to effectively transfer key and complex information to all levels of staff, adapting the style of communication as necessary and ensuring that this information is understood.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Demonstrate excellent judgement skills under competing priorities and pressure.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IT Skills: </w:t>
      </w:r>
      <w:r>
        <w:rPr>
          <w:rFonts w:ascii="Arial" w:hAnsi="Arial" w:eastAsia="Arial" w:cs="Arial"/>
          <w:color w:val="000000"/>
          <w:lang w:val="en-GB" w:eastAsia="en-GB" w:bidi="en-GB"/>
        </w:rPr>
        <w:t xml:space="preserve">Skills to use ICT systems to obtain and analyse data and present it effectively through a variety of ICT channels.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FF0000"/>
          <w:left w:val="single" w:sz="4" w:space="1" w:color="FF0000"/>
          <w:bottom w:val="single" w:sz="4" w:space="1" w:color="FF0000"/>
          <w:right w:val="single" w:sz="4" w:space="1" w:color="FF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sz w:val="23"/>
          <w:szCs w:val="23"/>
          <w:lang w:val="en-GB" w:eastAsia="en-GB" w:bidi="en-GB"/>
        </w:rPr>
        <w:t xml:space="preserve">H</w:t>
      </w:r>
      <w:r>
        <w:rPr>
          <w:rFonts w:ascii="Arial" w:hAnsi="Arial" w:eastAsia="Arial" w:cs="Arial"/>
          <w:lang w:val="en-GB" w:eastAsia="en-GB" w:bidi="en-GB"/>
        </w:rPr>
        <w:t xml:space="preserve">old Degree in Occupational Therapy, and at least 2 year's experience working as an Occupational Therapist</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Registered with the Health Care Professionals Council (HCPC) </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Willingness to consent to and apply for an enhanced Disclosure and Barring Service</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Current driving licence and access to a vehicle </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Excellent knowledge of Occupational Therapy Models of Practice</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Highly developed application of assessment and interventions relevant to people with a range of medical conditions</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Good understanding of relevant Social Care legislation</w:t>
      </w:r>
    </w:p>
    <w:p>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rFonts w:ascii="Arial" w:hAnsi="Arial" w:eastAsia="Arial" w:cs="Arial"/>
          <w:color w:val="000000"/>
          <w:lang w:val="en-GB" w:eastAsia="en-GB" w:bidi="en-GB"/>
        </w:rPr>
        <w:t xml:space="preserve">Well-established understanding of equipment and moving and handling assessments and interventions.</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 willingness to work towards achieving accredited Manual Handing Train the Trainer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sectPr>
      <w:headerReference w:type="default" r:id="rId00009"/>
      <w:footerReference w:type="default" r:id="rId00010"/>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-408305</wp:posOffset>
          </wp:positionH>
          <wp:positionV relativeFrom="paragraph">
            <wp:posOffset>0</wp:posOffset>
          </wp:positionV>
          <wp:extent cx="5332095" cy="692785"/>
          <wp:wrapSquare wrapText="bothSides"/>
          <wp:docPr id="3" name="Picture 2"/>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332095" cy="692785"/>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4076700</wp:posOffset>
          </wp:positionH>
          <wp:positionV relativeFrom="paragraph">
            <wp:posOffset>0</wp:posOffset>
          </wp:positionV>
          <wp:extent cx="2131695" cy="409575"/>
          <wp:wrapSquare wrapText="bothSides"/>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1695" cy="40957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-1065530</wp:posOffset>
          </wp:positionH>
          <wp:positionV relativeFrom="paragraph">
            <wp:posOffset>0</wp:posOffset>
          </wp:positionV>
          <wp:extent cx="1937385" cy="673735"/>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37385" cy="67373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n"/>
        <w:i w:val="off"/>
        <w:strike w:val="off"/>
        <w:color w:val="000000"/>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3"/>
        <w:u w:val="none"/>
        <w:shd w:val="clear" w:color="auto" w:fill="auto"/>
      </w:rPr>
    </w:lvl>
  </w:abstractNum>
  <w:abstractNum w:abstractNumId="6">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7">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Body Text 2 Char" w:customStyle="1">
    <w:name w:val="Body Text 2 Char"/>
    <w:qFormat/>
    <w:rPr>
      <w:rtl w:val="off"/>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Hilton-Duncan</dc:creator>
  <dcterms:created xsi:type="dcterms:W3CDTF">2024-10-16T12:09:00Z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y fmtid="{D5CDD505-2E9C-101B-9397-08002B2CF9AE}" pid="3" name="Order">
    <vt:r8>25100</vt:r8>
  </property>
</Properties>
</file>