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Technical Officer,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Revenues and Benefits Unit, Corporate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Reports to: Corporate Assessments Team Leader within the relevant service / Service Improvement Manager (Fraud and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Job Family: Transactional Back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expertise and support in delivering excellent transactional back office support to the residents of Manchester and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monitor, evaluate and report on the quality of output from a transactional team with a focus on the continuous improvement of service delivery and contribution to service performance targets.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Develop and maintain a high level of expertise in respect of relevant law, policy, good practice, procedures and systems. Support and coach colleagues in these areas and develop the team in general in its understanding and use of legislation, case-law and good practice in these areas.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Analyse and interpret feedback and management information and proactively develop recommendations for improvement in line with best practice in a way that supports service priorities and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collaboratively across the wider Council, providing specialist advice, information, support and challenge to support client services to meet the objectives outlined in business plans and the effective delivery of organisational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Proactively assist the monitoring and review processes and procedures to ensure that key performance indicators are met and implement strategies and procedures to continually enhance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advice and guidance to colleagues across the organisation in area of specialism.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lang w:val="en-GB" w:eastAsia="en-GB" w:bidi="en-GB"/>
        </w:rPr>
        <w:br w:type="page"/>
      </w: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This role will sit in one of the functions listed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color w:val="222222"/>
          <w:shd w:val="clear" w:color="auto" w:fill="FFFFFF"/>
          <w:lang w:val="en-GB" w:eastAsia="en-GB" w:bidi="en-GB"/>
        </w:rPr>
        <w:t xml:space="preserve">Adults Case Management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This team, based within the Benefits Division of the Revenues and Benefits Unit, is responsible for assessing a citizen’s contribution to their care costs and ensuring that any financial assessment is applied in line with The Care Act 2014, The Care and Support (Charging and Assessment of Resources) Regulations 2014 and Department of Health (DoH)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support Case Management Officers with complex cases and Team Leaders with technical work in relation to reporting and system administration. They will also provide feedback to the Policy Strategy Manager to improve training and policy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Typical tasks of the Technical Officer will be: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Managing and delegating tasks from the Team Inbox</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Supporting Case Management Officers with complex cases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Supporting Team Leaders with</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rFonts w:ascii="Arial" w:hAnsi="Arial" w:eastAsia="Arial" w:cs="Arial"/>
          <w:lang w:val="en-GB" w:eastAsia="en-GB" w:bidi="en-GB"/>
        </w:rPr>
        <w:t xml:space="preserve">Technical changes to the finance system</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rFonts w:ascii="Arial" w:hAnsi="Arial" w:eastAsia="Arial" w:cs="Arial"/>
          <w:lang w:val="en-GB" w:eastAsia="en-GB" w:bidi="en-GB"/>
        </w:rPr>
        <w:t xml:space="preserve">Exception Reporting</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rFonts w:ascii="Arial" w:hAnsi="Arial" w:eastAsia="Arial" w:cs="Arial"/>
          <w:lang w:val="en-GB" w:eastAsia="en-GB" w:bidi="en-GB"/>
        </w:rPr>
        <w:t xml:space="preserve">Quality Assurance of Case Management Officer’s work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Feeding back to the Policy and Strategy Manager on training, process and policy issues relating to the implementation of the Care Act 2014 and associated regulations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Benefits Service administers and delivers the Housing Benefit and Council Tax Support schemes for Manchester. The key Housing Benefit legislation is The </w:t>
      </w:r>
      <w:r>
        <w:rPr>
          <w:rFonts w:ascii="Arial" w:hAnsi="Arial" w:eastAsia="Arial" w:cs="Arial"/>
          <w:lang w:val="en-GB" w:eastAsia="en-GB" w:bidi="en-GB"/>
        </w:rPr>
        <w:fldChar w:fldCharType="begin"/>
      </w:r>
      <w:r>
        <w:rPr>
          <w:rFonts w:ascii="Arial" w:hAnsi="Arial" w:eastAsia="Arial" w:cs="Arial"/>
          <w:lang w:val="en-GB" w:eastAsia="en-GB" w:bidi="en-GB"/>
        </w:rPr>
        <w:instrText xml:space="preserve"> HYPERLINK "https://en.wikipedia.org/wiki/Social_Security_Contributions_and_Benefits_Act_1992" </w:instrText>
      </w:r>
      <w:r>
        <w:rPr>
          <w:rFonts w:ascii="Arial" w:hAnsi="Arial" w:eastAsia="Arial" w:cs="Arial"/>
          <w:lang w:val="en-GB" w:eastAsia="en-GB" w:bidi="en-GB"/>
        </w:rPr>
        <w:fldChar w:fldCharType="separate"/>
      </w:r>
      <w:r>
        <w:rPr>
          <w:rFonts w:ascii="Arial" w:hAnsi="Arial" w:eastAsia="Arial" w:cs="Arial"/>
          <w:lang w:val="en-GB" w:eastAsia="en-GB" w:bidi="en-GB"/>
        </w:rPr>
        <w:t xml:space="preserve">Social Security Contributions and Benefits Act 1992</w:t>
      </w:r>
      <w:r>
        <w:rPr>
          <w:rFonts w:ascii="Arial" w:hAnsi="Arial" w:eastAsia="Arial" w:cs="Arial"/>
          <w:lang w:val="en-GB" w:eastAsia="en-GB" w:bidi="en-GB"/>
        </w:rPr>
        <w:fldChar w:fldCharType="end"/>
      </w:r>
      <w:r>
        <w:rPr>
          <w:rFonts w:ascii="Arial" w:hAnsi="Arial" w:eastAsia="Arial" w:cs="Arial"/>
          <w:lang w:val="en-GB" w:eastAsia="en-GB" w:bidi="en-GB"/>
        </w:rPr>
        <w:t xml:space="preserve"> and the Housing Benefit Regulations 2006. The key Council Tax Support legislation is the The Council Tax Reduction Schemes (Default Scheme) (England) Regulations 2012 with local policy applied through the Council’s local Council Tax Support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Benefits Service has Technical Officer roles within the Operations function, Fraud and Error Team, and the Casework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Benefits Operations Technical Officer primary responsibilities include supporting Benefits Officers and Team Leaders with complex cases including fraud cases; Discretionary Housing Payments; supporting and monitoring new starters.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Tasks of the Benefits Operations Technical Officer can include: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Supporting Benefits Officers with complex cases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Making Discretionary Housing Payment decisions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Actioning system reports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Deputising for Team Manager when required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Feeding back on training, process and policy issues relating to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Fraud and Error Technical Officer primary responsibilities include investigating potentially fraudulent claims, interviewing claimants, supporting colleagues to understand complex fraud cases, writing detailed and robust decision letters.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Tasks of the Fraud and Error Technical Officer can include: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Undertaking analysis and investigation of claims to determine whether they are likely to be fraudulent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Interviewing claimants in person to establish the credibility of information and evidence submitted in support of a claim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Supporting colleagues with complex cases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Actioning system reports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Deputising for Team Manager when required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Feeding back on training, process and policy issues relating to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Benefits Casework Technical Officer primary responsibilities are dealing with reconsiderations and appeals.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Typical tasks of the Benefits Casework Technical Officer will be: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Reviewing Housing Benefit / Council Tax Support decisions and recommending / applying changes where appropriate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Writing Tribunal Service papers in response to Appeals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Presenting cases at Tribunal</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Feeding back on training, process and policy issues relating to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Revenues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Revenues Service administers, collects and recovers Business Rates, Council Tax, Housing Benefit Overpayments, Adult Social Care debt and miscellaneous Income for Manchester. The Revenues Service has Technical Officers in the Council Tax and Business Rates Teams. The key Business Rates Legislation is The Local Government Finance Acts of 1988 and 1992 (as amended). The key Council Tax Legislation is the Local Government Finance Act (as amended).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Typical tasks of the Revenues Technical Officer will be: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Supporting Revenues Officers and Account Managers with complex cases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Making Discretionary Council Tax Payment decisions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Monitoring of new starter Revenues Officer and Account Manager work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Feeding back on training, process and policy issues relating to guidance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Court attendance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color w:val="000000"/>
          <w:lang w:val="en-GB" w:eastAsia="en-GB" w:bidi="en-GB"/>
        </w:rPr>
      </w:pPr>
      <w:r>
        <w:rPr>
          <w:rFonts w:ascii="Arial" w:hAnsi="Arial" w:eastAsia="Arial" w:cs="Arial"/>
          <w:b/>
          <w:bCs/>
          <w:color w:val="000000"/>
          <w:lang w:val="en-GB" w:eastAsia="en-GB" w:bidi="en-GB"/>
        </w:rPr>
        <w:t xml:space="preserve">Communication:</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Ability to communicate clearly, concisely, accurately and in ways that promote understanding. </w:t>
      </w:r>
      <w:r>
        <w:rPr>
          <w:rFonts w:ascii="Arial" w:hAnsi="Arial" w:eastAsia="Arial" w:cs="Arial"/>
          <w:color w:val="000000"/>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lang w:val="en-GB" w:eastAsia="en-GB" w:bidi="en-GB"/>
        </w:rPr>
        <w:t xml:space="preserve">Ability to absorb, understand and quickly assimilate moderately complex information and concepts and compare information from a number of different sources.</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color w:val="000000"/>
          <w:lang w:val="en-GB" w:eastAsia="en-GB" w:bidi="en-GB"/>
        </w:rPr>
        <w:t xml:space="preserve">Planning and Organising:</w:t>
      </w:r>
      <w:r>
        <w:rPr>
          <w:rFonts w:ascii="Arial" w:hAnsi="Arial" w:eastAsia="Arial" w:cs="Arial"/>
          <w:color w:val="000000"/>
          <w:lang w:val="en-GB" w:eastAsia="en-GB" w:bidi="en-GB"/>
        </w:rPr>
        <w:t xml:space="preserve"> Demonstrate the ability to organise multiple tasks in the most effective way, and allocate time and energy according to task complexity and priority.</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color w:val="000000"/>
          <w:lang w:val="en-GB" w:eastAsia="en-GB" w:bidi="en-GB"/>
        </w:rPr>
        <w:t xml:space="preserve">ICT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Ability to analyse situations, diagnose problems, identify the key issues, establish and evaluate alternative courses of action and produce a logical, practical and acceptable solution.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Financial Management:</w:t>
      </w:r>
      <w:r>
        <w:rPr>
          <w:rFonts w:ascii="Arial" w:hAnsi="Arial" w:eastAsia="Arial" w:cs="Arial"/>
          <w:lang w:val="en-GB" w:eastAsia="en-GB" w:bidi="en-GB"/>
        </w:rPr>
        <w:t xml:space="preserve"> Numeracy and accuracy skills to handle numbers confidently, collate information and keep accurate and reliable records to help with the monitoring and reviewing of financial resources.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Must consent to and apply for a </w:t>
      </w:r>
      <w:r>
        <w:rPr>
          <w:rFonts w:ascii="Arial" w:hAnsi="Arial" w:eastAsia="Arial" w:cs="Arial"/>
          <w:shd w:val="clear" w:color="auto" w:fill="FFFFFF"/>
          <w:lang w:val="en-GB" w:eastAsia="en-GB" w:bidi="en-GB"/>
        </w:rPr>
        <w:t xml:space="preserve">Baseline Personnel Security Standard (BPSS) check.</w:t>
      </w:r>
      <w:r>
        <w:rPr>
          <w:rFonts w:ascii="Arial" w:hAnsi="Arial" w:eastAsia="Arial" w:cs="Arial"/>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Must consent to and apply for a standard DBS (Disclosure &amp; Barring Service)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5"/>
      <w:footerReference w:type="default" r:id="rId00006"/>
      <w:pgSz w:w="11906" w:h="16838"/>
      <w:pgMar w:top="1134" w:right="1134" w:bottom="1134" w:left="1134" w:header="709" w:footer="709"/>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r>
      <w:rPr>
        <w:b/>
        <w:bCs/>
        <w:color w:val="000000"/>
        <w:sz w:val="16"/>
        <w:szCs w:val="16"/>
        <w:lang w:val="en-GB" w:eastAsia="en-GB" w:bidi="en-GB"/>
      </w:rPr>
      <w:drawing>
        <wp:inline distT="0" distB="0" distL="0" distR="0">
          <wp:extent cx="213106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4"/>
                  <a:stretch>
                    <a:fillRect/>
                  </a:stretch>
                </pic:blipFill>
                <pic:spPr>
                  <a:xfrm>
                    <a:off x="0" y="0"/>
                    <a:ext cx="2131060" cy="409575"/>
                  </a:xfrm>
                  <a:prstGeom prst="rect">
                    <a:avLst/>
                  </a:prstGeom>
                </pic:spPr>
              </pic:pic>
            </a:graphicData>
          </a:graphic>
        </wp:inline>
      </w:drawing>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lvl w:ilvl="1">
      <w:start w:val="1"/>
      <w:numFmt w:val="bullet"/>
      <w:suff w:val="tab"/>
      <w:lvlText w:val="⮚"/>
      <w:pPr>
        <w:ind w:left="1440" w:hanging="360"/>
        <w:tabs>
          <w:tab w:val="num" w:pos="1440"/>
        </w:tabs>
      </w:pPr>
      <w:rPr>
        <w:rFonts w:hint="default" w:ascii="Noto Sans Symbols" w:hAnsi="Noto Sans Symbols" w:eastAsia="Noto Sans Symbols" w:cs="Noto Sans Symbols"/>
        <w:b w:val="off"/>
        <w:i w:val="off"/>
        <w:strike w:val="off"/>
        <w:color w:val="auto"/>
        <w:position w:val="0"/>
        <w:sz w:val="24"/>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normal" w:customStyle="1">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 w:type="paragraph" w:styleId="Heading 11" w:customStyle="1">
    <w:name w:val="Heading 11"/>
    <w:basedOn w:val="normal"/>
    <w:next w:val="normal"/>
    <w:qFormat/>
    <w:pPr>
      <w:keepNext/>
      <w:keepLines/>
      <w:spacing w:before="480" w:after="120"/>
    </w:pPr>
    <w:rPr>
      <w:b/>
      <w:bCs/>
      <w:sz w:val="48"/>
      <w:szCs w:val="48"/>
      <w:lang w:val="en-GB" w:eastAsia="en-GB" w:bidi="en-GB"/>
    </w:rPr>
  </w:style>
  <w:style w:type="paragraph" w:styleId="Heading 21" w:customStyle="1">
    <w:name w:val="Heading 21"/>
    <w:basedOn w:val="normal"/>
    <w:next w:val="normal"/>
    <w:qFormat/>
    <w:pPr>
      <w:keepNext/>
      <w:keepLines/>
      <w:spacing w:before="360" w:after="80"/>
    </w:pPr>
    <w:rPr>
      <w:b/>
      <w:bCs/>
      <w:sz w:val="36"/>
      <w:szCs w:val="36"/>
      <w:lang w:val="en-GB" w:eastAsia="en-GB" w:bidi="en-GB"/>
    </w:rPr>
  </w:style>
  <w:style w:type="paragraph" w:styleId="Heading 31" w:customStyle="1">
    <w:name w:val="Heading 31"/>
    <w:basedOn w:val="normal"/>
    <w:next w:val="normal"/>
    <w:qFormat/>
    <w:pPr>
      <w:keepNext/>
      <w:spacing w:before="240" w:after="60"/>
    </w:pPr>
    <w:rPr>
      <w:rFonts w:ascii="Arial" w:hAnsi="Arial" w:eastAsia="Arial" w:cs="Arial"/>
      <w:b/>
      <w:bCs/>
      <w:sz w:val="26"/>
      <w:szCs w:val="26"/>
      <w:lang w:val="en-GB" w:eastAsia="en-GB" w:bidi="en-GB"/>
    </w:rPr>
  </w:style>
  <w:style w:type="paragraph" w:styleId="Heading 41" w:customStyle="1">
    <w:name w:val="Heading 41"/>
    <w:basedOn w:val="normal"/>
    <w:next w:val="normal"/>
    <w:qFormat/>
    <w:pPr>
      <w:keepNext/>
      <w:spacing w:before="240" w:after="60"/>
    </w:pPr>
    <w:rPr>
      <w:b/>
      <w:bCs/>
      <w:sz w:val="28"/>
      <w:szCs w:val="28"/>
      <w:lang w:val="en-GB" w:eastAsia="en-GB" w:bidi="en-GB"/>
    </w:rPr>
  </w:style>
  <w:style w:type="paragraph" w:styleId="Heading 51" w:customStyle="1">
    <w:name w:val="Heading 51"/>
    <w:basedOn w:val="normal"/>
    <w:next w:val="normal"/>
    <w:qFormat/>
    <w:pPr>
      <w:keepNext/>
      <w:keepLines/>
      <w:spacing w:before="220" w:after="40"/>
    </w:pPr>
    <w:rPr>
      <w:b/>
      <w:bCs/>
      <w:sz w:val="22"/>
      <w:szCs w:val="22"/>
      <w:lang w:val="en-GB" w:eastAsia="en-GB" w:bidi="en-GB"/>
    </w:rPr>
  </w:style>
  <w:style w:type="paragraph" w:styleId="Heading 61" w:customStyle="1">
    <w:name w:val="Heading 61"/>
    <w:basedOn w:val="normal"/>
    <w:next w:val="normal"/>
    <w:qFormat/>
    <w:pPr>
      <w:keepNext/>
      <w:keepLines/>
      <w:spacing w:before="200" w:after="40"/>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5" Type="http://schemas.openxmlformats.org/officeDocument/2006/relationships/header" Target="header0001.xml"/>
	<Relationship Id="rId00006" Type="http://schemas.openxmlformats.org/officeDocument/2006/relationships/footer" Target="foot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4" Type="http://schemas.openxmlformats.org/officeDocument/2006/relationships/image" Target="media/image0001.png"/>
</Relationship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0x010100485AB274AE2569499A18086959E29B8C</vt:lpwstr>
  </property>
</Properties>
</file>