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0C7D" w14:textId="77777777" w:rsidR="00B70213" w:rsidRPr="00B70213" w:rsidRDefault="00E91C58" w:rsidP="00B70213">
      <w:pPr>
        <w:rPr>
          <w:rFonts w:cs="Calibri"/>
          <w:b/>
          <w:sz w:val="24"/>
          <w:szCs w:val="24"/>
        </w:rPr>
      </w:pPr>
      <w:r>
        <w:rPr>
          <w:rFonts w:cs="Calibri"/>
          <w:sz w:val="24"/>
          <w:szCs w:val="24"/>
        </w:rPr>
        <w:object w:dxaOrig="1440" w:dyaOrig="1440" w14:anchorId="5A830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0pt;margin-top:0;width:81pt;height:73.5pt;z-index:251658240;mso-wrap-edited:f" wrapcoords="-66 0 -66 21528 21600 21528 21600 0 -66 0" fillcolor="window">
            <v:imagedata r:id="rId8" o:title=""/>
            <w10:wrap type="tight"/>
          </v:shape>
          <o:OLEObject Type="Embed" ProgID="Unknown" ShapeID="_x0000_s1026" DrawAspect="Content" ObjectID="_1824015191" r:id="rId9"/>
        </w:object>
      </w:r>
      <w:r w:rsidR="00B70213" w:rsidRPr="00B70213">
        <w:rPr>
          <w:rFonts w:cs="Calibri"/>
          <w:b/>
          <w:sz w:val="24"/>
          <w:szCs w:val="24"/>
        </w:rPr>
        <w:t>St Clement’s C of E Primary School</w:t>
      </w:r>
    </w:p>
    <w:p w14:paraId="4ED5F299" w14:textId="77777777" w:rsidR="00B70213" w:rsidRDefault="00B70213" w:rsidP="00B70213">
      <w:pPr>
        <w:rPr>
          <w:rFonts w:cs="Calibri"/>
          <w:b/>
          <w:sz w:val="24"/>
          <w:szCs w:val="24"/>
        </w:rPr>
      </w:pPr>
      <w:r w:rsidRPr="00B70213">
        <w:rPr>
          <w:rFonts w:cs="Calibri"/>
          <w:b/>
          <w:sz w:val="24"/>
          <w:szCs w:val="24"/>
        </w:rPr>
        <w:t>School Attendance Officer Person Specification</w:t>
      </w:r>
    </w:p>
    <w:p w14:paraId="6787B712" w14:textId="77777777" w:rsidR="00E91C58" w:rsidRDefault="00E91C58" w:rsidP="00E91C58">
      <w:pPr>
        <w:rPr>
          <w:rFonts w:cs="Calibri"/>
          <w:b/>
          <w:sz w:val="24"/>
          <w:szCs w:val="24"/>
        </w:rPr>
      </w:pPr>
      <w:r>
        <w:rPr>
          <w:rFonts w:cs="Calibri"/>
          <w:sz w:val="24"/>
          <w:szCs w:val="24"/>
        </w:rPr>
        <w:t>The school is committed to safeguarding and promoting the welfare of children and young people and expects all staff and volunteers to share this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7102"/>
      </w:tblGrid>
      <w:tr w:rsidR="00B70213" w:rsidRPr="00B70213" w14:paraId="66C9DF55" w14:textId="77777777" w:rsidTr="00E91C58">
        <w:tc>
          <w:tcPr>
            <w:tcW w:w="1914" w:type="dxa"/>
            <w:tcBorders>
              <w:top w:val="single" w:sz="4" w:space="0" w:color="auto"/>
              <w:left w:val="single" w:sz="4" w:space="0" w:color="auto"/>
              <w:bottom w:val="single" w:sz="4" w:space="0" w:color="auto"/>
              <w:right w:val="single" w:sz="4" w:space="0" w:color="auto"/>
            </w:tcBorders>
            <w:hideMark/>
          </w:tcPr>
          <w:p w14:paraId="00C8B399" w14:textId="77777777" w:rsidR="00B70213" w:rsidRPr="00B70213" w:rsidRDefault="00B70213">
            <w:pPr>
              <w:rPr>
                <w:rFonts w:cs="Calibri"/>
                <w:b/>
                <w:sz w:val="24"/>
                <w:szCs w:val="24"/>
              </w:rPr>
            </w:pPr>
            <w:r w:rsidRPr="00B70213">
              <w:rPr>
                <w:rFonts w:cs="Calibri"/>
                <w:b/>
                <w:sz w:val="24"/>
                <w:szCs w:val="24"/>
              </w:rPr>
              <w:t xml:space="preserve">For this job we are looking for </w:t>
            </w:r>
          </w:p>
        </w:tc>
        <w:tc>
          <w:tcPr>
            <w:tcW w:w="7102" w:type="dxa"/>
            <w:tcBorders>
              <w:top w:val="single" w:sz="4" w:space="0" w:color="auto"/>
              <w:left w:val="single" w:sz="4" w:space="0" w:color="auto"/>
              <w:bottom w:val="single" w:sz="4" w:space="0" w:color="auto"/>
              <w:right w:val="single" w:sz="4" w:space="0" w:color="auto"/>
            </w:tcBorders>
          </w:tcPr>
          <w:p w14:paraId="2E9EAA28"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Knowledge and understanding of working with children, young people and families and dealing with barriers to education. </w:t>
            </w:r>
          </w:p>
          <w:p w14:paraId="17F29581" w14:textId="77777777" w:rsidR="00B70213" w:rsidRPr="00B70213" w:rsidRDefault="00B70213">
            <w:pPr>
              <w:spacing w:after="0" w:line="240" w:lineRule="auto"/>
              <w:ind w:left="1080"/>
              <w:jc w:val="both"/>
              <w:rPr>
                <w:rFonts w:cs="Calibri"/>
                <w:sz w:val="24"/>
                <w:szCs w:val="24"/>
              </w:rPr>
            </w:pPr>
          </w:p>
          <w:p w14:paraId="505E3417"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Knowledge, and understanding of safeguarding procedures, child protection issues and law and regulations governing the employment of children. </w:t>
            </w:r>
          </w:p>
          <w:p w14:paraId="49013DB8" w14:textId="77777777" w:rsidR="00B70213" w:rsidRPr="00B70213" w:rsidRDefault="00B70213">
            <w:pPr>
              <w:spacing w:after="0" w:line="240" w:lineRule="auto"/>
              <w:ind w:left="1080"/>
              <w:jc w:val="both"/>
              <w:rPr>
                <w:rFonts w:cs="Calibri"/>
                <w:sz w:val="24"/>
                <w:szCs w:val="24"/>
              </w:rPr>
            </w:pPr>
          </w:p>
          <w:p w14:paraId="4FA99874"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Knowledge and understanding statutory legislation, guidelines and policies on attendance. </w:t>
            </w:r>
          </w:p>
          <w:p w14:paraId="384A8776" w14:textId="77777777" w:rsidR="00B70213" w:rsidRPr="00B70213" w:rsidRDefault="00B70213">
            <w:pPr>
              <w:spacing w:after="0" w:line="240" w:lineRule="auto"/>
              <w:ind w:left="1080"/>
              <w:jc w:val="both"/>
              <w:rPr>
                <w:rFonts w:cs="Calibri"/>
                <w:sz w:val="24"/>
                <w:szCs w:val="24"/>
              </w:rPr>
            </w:pPr>
          </w:p>
          <w:p w14:paraId="1E3B943C"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Experience of developing, implementing and monitoring administrative systems in a busy office environment. –</w:t>
            </w:r>
          </w:p>
          <w:p w14:paraId="6EB27785" w14:textId="77777777" w:rsidR="00B70213" w:rsidRPr="00B70213" w:rsidRDefault="00B70213">
            <w:pPr>
              <w:spacing w:after="0" w:line="240" w:lineRule="auto"/>
              <w:ind w:left="1080"/>
              <w:jc w:val="both"/>
              <w:rPr>
                <w:rFonts w:cs="Calibri"/>
                <w:sz w:val="24"/>
                <w:szCs w:val="24"/>
              </w:rPr>
            </w:pPr>
          </w:p>
          <w:p w14:paraId="4FA00C39"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Experience of effectively, collating financial data and keeping financial records. </w:t>
            </w:r>
          </w:p>
          <w:p w14:paraId="4A01B78E" w14:textId="77777777" w:rsidR="00B70213" w:rsidRPr="00B70213" w:rsidRDefault="00B70213">
            <w:pPr>
              <w:spacing w:after="0" w:line="240" w:lineRule="auto"/>
              <w:ind w:left="1080"/>
              <w:jc w:val="both"/>
              <w:rPr>
                <w:rFonts w:cs="Calibri"/>
                <w:sz w:val="24"/>
                <w:szCs w:val="24"/>
              </w:rPr>
            </w:pPr>
          </w:p>
          <w:p w14:paraId="3EEB9C0D"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Ability to plan and prioritise own workload, and meet deadlines within fixed, sometimes conflicting, timescales. </w:t>
            </w:r>
          </w:p>
          <w:p w14:paraId="6FCE73EA" w14:textId="77777777" w:rsidR="00B70213" w:rsidRPr="00B70213" w:rsidRDefault="00B70213">
            <w:pPr>
              <w:spacing w:after="0" w:line="240" w:lineRule="auto"/>
              <w:jc w:val="both"/>
              <w:rPr>
                <w:rFonts w:cs="Calibri"/>
                <w:sz w:val="24"/>
                <w:szCs w:val="24"/>
              </w:rPr>
            </w:pPr>
          </w:p>
          <w:p w14:paraId="5E41C600"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Excellent IT skills, including spreadsheets, databases, word processing, and internet/intranet/email. </w:t>
            </w:r>
          </w:p>
          <w:p w14:paraId="1C55E0B8" w14:textId="77777777" w:rsidR="00B70213" w:rsidRPr="00B70213" w:rsidRDefault="00B70213">
            <w:pPr>
              <w:spacing w:after="0" w:line="240" w:lineRule="auto"/>
              <w:ind w:left="1080"/>
              <w:jc w:val="both"/>
              <w:rPr>
                <w:rFonts w:cs="Calibri"/>
                <w:sz w:val="24"/>
                <w:szCs w:val="24"/>
              </w:rPr>
            </w:pPr>
          </w:p>
          <w:p w14:paraId="259AA9D8"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Excellent written, oral and listening communication skills for effective interaction with internal and external contacts including members of the public and staff at all levels. </w:t>
            </w:r>
          </w:p>
          <w:p w14:paraId="39728362" w14:textId="77777777" w:rsidR="00B70213" w:rsidRPr="00B70213" w:rsidRDefault="00B70213">
            <w:pPr>
              <w:spacing w:after="0" w:line="240" w:lineRule="auto"/>
              <w:ind w:left="1080"/>
              <w:jc w:val="both"/>
              <w:rPr>
                <w:rFonts w:cs="Calibri"/>
                <w:sz w:val="24"/>
                <w:szCs w:val="24"/>
              </w:rPr>
            </w:pPr>
          </w:p>
          <w:p w14:paraId="79271E1D"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Ability to adapt to challenging situations and people and respond appropriately using negotiation and influencing skills to achieve objectives. </w:t>
            </w:r>
          </w:p>
          <w:p w14:paraId="6CBB44BB" w14:textId="77777777" w:rsidR="00B70213" w:rsidRPr="00B70213" w:rsidRDefault="00B70213">
            <w:pPr>
              <w:spacing w:after="0" w:line="240" w:lineRule="auto"/>
              <w:ind w:left="1080"/>
              <w:jc w:val="both"/>
              <w:rPr>
                <w:rFonts w:cs="Calibri"/>
                <w:sz w:val="24"/>
                <w:szCs w:val="24"/>
              </w:rPr>
            </w:pPr>
          </w:p>
          <w:p w14:paraId="6748A00F"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Ability to work as part of a team and openly and collaboratively with multi-agency colleagues, while understanding issues around confidentiality. </w:t>
            </w:r>
          </w:p>
          <w:p w14:paraId="68314F77" w14:textId="77777777" w:rsidR="00B70213" w:rsidRPr="00B70213" w:rsidRDefault="00B70213">
            <w:pPr>
              <w:spacing w:after="0" w:line="240" w:lineRule="auto"/>
              <w:ind w:left="1080"/>
              <w:jc w:val="both"/>
              <w:rPr>
                <w:rFonts w:cs="Calibri"/>
                <w:sz w:val="24"/>
                <w:szCs w:val="24"/>
              </w:rPr>
            </w:pPr>
          </w:p>
          <w:p w14:paraId="46C27746" w14:textId="77777777" w:rsidR="00B70213" w:rsidRPr="00B70213" w:rsidRDefault="00B70213" w:rsidP="00B353FE">
            <w:pPr>
              <w:numPr>
                <w:ilvl w:val="0"/>
                <w:numId w:val="1"/>
              </w:numPr>
              <w:spacing w:after="0" w:line="240" w:lineRule="auto"/>
              <w:jc w:val="both"/>
              <w:rPr>
                <w:rFonts w:cs="Calibri"/>
                <w:sz w:val="24"/>
                <w:szCs w:val="24"/>
              </w:rPr>
            </w:pPr>
            <w:r w:rsidRPr="00B70213">
              <w:rPr>
                <w:rFonts w:cs="Calibri"/>
                <w:sz w:val="24"/>
                <w:szCs w:val="24"/>
              </w:rPr>
              <w:t xml:space="preserve">Problem solving skills and the ability to identify practical solutions. </w:t>
            </w:r>
          </w:p>
          <w:p w14:paraId="2B6C78DA" w14:textId="77777777" w:rsidR="00B70213" w:rsidRDefault="00B70213">
            <w:pPr>
              <w:spacing w:after="0" w:line="240" w:lineRule="auto"/>
              <w:ind w:left="1080"/>
              <w:jc w:val="both"/>
              <w:rPr>
                <w:rFonts w:cs="Calibri"/>
                <w:sz w:val="24"/>
                <w:szCs w:val="24"/>
              </w:rPr>
            </w:pPr>
          </w:p>
          <w:p w14:paraId="6C88A872" w14:textId="77777777" w:rsidR="00B70213" w:rsidRDefault="00B70213">
            <w:pPr>
              <w:spacing w:after="0" w:line="240" w:lineRule="auto"/>
              <w:ind w:left="1080"/>
              <w:jc w:val="both"/>
              <w:rPr>
                <w:rFonts w:cs="Calibri"/>
                <w:sz w:val="24"/>
                <w:szCs w:val="24"/>
              </w:rPr>
            </w:pPr>
          </w:p>
          <w:p w14:paraId="1E75EEBC" w14:textId="77777777" w:rsidR="00B70213" w:rsidRDefault="00B70213">
            <w:pPr>
              <w:spacing w:after="0" w:line="240" w:lineRule="auto"/>
              <w:ind w:left="1080"/>
              <w:jc w:val="both"/>
              <w:rPr>
                <w:rFonts w:cs="Calibri"/>
                <w:sz w:val="24"/>
                <w:szCs w:val="24"/>
              </w:rPr>
            </w:pPr>
          </w:p>
          <w:p w14:paraId="5D39A287" w14:textId="77777777" w:rsidR="00B70213" w:rsidRPr="00B70213" w:rsidRDefault="00B70213">
            <w:pPr>
              <w:spacing w:after="0" w:line="240" w:lineRule="auto"/>
              <w:ind w:left="1080"/>
              <w:jc w:val="both"/>
              <w:rPr>
                <w:rFonts w:cs="Calibri"/>
                <w:sz w:val="24"/>
                <w:szCs w:val="24"/>
              </w:rPr>
            </w:pPr>
          </w:p>
          <w:p w14:paraId="1B5F3115" w14:textId="77777777" w:rsidR="00B70213" w:rsidRDefault="00B70213" w:rsidP="00B353FE">
            <w:pPr>
              <w:numPr>
                <w:ilvl w:val="0"/>
                <w:numId w:val="1"/>
              </w:numPr>
              <w:spacing w:after="0" w:line="240" w:lineRule="auto"/>
              <w:jc w:val="both"/>
              <w:rPr>
                <w:rFonts w:cs="Calibri"/>
                <w:sz w:val="24"/>
                <w:szCs w:val="24"/>
              </w:rPr>
            </w:pPr>
            <w:r w:rsidRPr="00B70213">
              <w:rPr>
                <w:rFonts w:cs="Calibri"/>
                <w:sz w:val="24"/>
                <w:szCs w:val="24"/>
              </w:rPr>
              <w:t>The role holder must have a command of spoken English which is sufficient to enable the effective performance of the role, including the ability to speak with confidence and accuracy and the ability to listen and respond appropriately dependent on the audience.</w:t>
            </w:r>
          </w:p>
          <w:p w14:paraId="541FE610" w14:textId="13EC0F09" w:rsidR="00B70213" w:rsidRPr="00B70213" w:rsidRDefault="00B70213" w:rsidP="00B70213">
            <w:pPr>
              <w:spacing w:after="0" w:line="240" w:lineRule="auto"/>
              <w:ind w:left="1080"/>
              <w:jc w:val="both"/>
              <w:rPr>
                <w:rFonts w:cs="Calibri"/>
                <w:sz w:val="24"/>
                <w:szCs w:val="24"/>
              </w:rPr>
            </w:pPr>
          </w:p>
        </w:tc>
      </w:tr>
      <w:tr w:rsidR="00B70213" w:rsidRPr="00B70213" w14:paraId="135A853D" w14:textId="77777777" w:rsidTr="00E91C58">
        <w:tc>
          <w:tcPr>
            <w:tcW w:w="1914" w:type="dxa"/>
            <w:tcBorders>
              <w:top w:val="single" w:sz="4" w:space="0" w:color="auto"/>
              <w:left w:val="single" w:sz="4" w:space="0" w:color="auto"/>
              <w:bottom w:val="single" w:sz="4" w:space="0" w:color="auto"/>
              <w:right w:val="single" w:sz="4" w:space="0" w:color="auto"/>
            </w:tcBorders>
            <w:hideMark/>
          </w:tcPr>
          <w:p w14:paraId="6989B2D1" w14:textId="77777777" w:rsidR="00B70213" w:rsidRPr="00B70213" w:rsidRDefault="00B70213">
            <w:pPr>
              <w:rPr>
                <w:rFonts w:cs="Calibri"/>
                <w:b/>
                <w:sz w:val="24"/>
                <w:szCs w:val="24"/>
              </w:rPr>
            </w:pPr>
            <w:r w:rsidRPr="00B70213">
              <w:rPr>
                <w:rFonts w:cs="Calibri"/>
                <w:b/>
                <w:sz w:val="24"/>
                <w:szCs w:val="24"/>
              </w:rPr>
              <w:lastRenderedPageBreak/>
              <w:t>Personal Style &amp; Behaviour</w:t>
            </w:r>
          </w:p>
        </w:tc>
        <w:tc>
          <w:tcPr>
            <w:tcW w:w="7102" w:type="dxa"/>
            <w:tcBorders>
              <w:top w:val="single" w:sz="4" w:space="0" w:color="auto"/>
              <w:left w:val="single" w:sz="4" w:space="0" w:color="auto"/>
              <w:bottom w:val="single" w:sz="4" w:space="0" w:color="auto"/>
              <w:right w:val="single" w:sz="4" w:space="0" w:color="auto"/>
            </w:tcBorders>
          </w:tcPr>
          <w:p w14:paraId="629DEE31"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Drive, tenacity, and an ability to maintain focus, objectivity and sound judgment under complex conditions to achieve desired outcomes. </w:t>
            </w:r>
          </w:p>
          <w:p w14:paraId="5FC7A7B7" w14:textId="77777777" w:rsidR="00B70213" w:rsidRPr="00B70213" w:rsidRDefault="00B70213">
            <w:pPr>
              <w:spacing w:after="0" w:line="240" w:lineRule="auto"/>
              <w:ind w:left="1080"/>
              <w:jc w:val="both"/>
              <w:rPr>
                <w:rFonts w:cs="Calibri"/>
                <w:bCs/>
                <w:sz w:val="24"/>
                <w:szCs w:val="24"/>
              </w:rPr>
            </w:pPr>
          </w:p>
          <w:p w14:paraId="0979F020"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Tact and diplomacy in all interpersonal relationships with external contacts and colleagues at work to establish and maintain positive relationships, which generate confidence and respect. </w:t>
            </w:r>
          </w:p>
          <w:p w14:paraId="25FDAA88" w14:textId="77777777" w:rsidR="00B70213" w:rsidRPr="00B70213" w:rsidRDefault="00B70213">
            <w:pPr>
              <w:spacing w:after="0" w:line="240" w:lineRule="auto"/>
              <w:ind w:left="1080"/>
              <w:jc w:val="both"/>
              <w:rPr>
                <w:rFonts w:cs="Calibri"/>
                <w:bCs/>
                <w:sz w:val="24"/>
                <w:szCs w:val="24"/>
              </w:rPr>
            </w:pPr>
          </w:p>
          <w:p w14:paraId="0F83F202"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Personal commitment to excellence in service delivery. –</w:t>
            </w:r>
          </w:p>
          <w:p w14:paraId="53E7FEF5" w14:textId="77777777" w:rsidR="00B70213" w:rsidRPr="00B70213" w:rsidRDefault="00B70213">
            <w:pPr>
              <w:spacing w:after="0" w:line="240" w:lineRule="auto"/>
              <w:ind w:left="1080"/>
              <w:jc w:val="both"/>
              <w:rPr>
                <w:rFonts w:cs="Calibri"/>
                <w:bCs/>
                <w:sz w:val="24"/>
                <w:szCs w:val="24"/>
              </w:rPr>
            </w:pPr>
          </w:p>
          <w:p w14:paraId="062CDABE"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Flexibility to adapt to changing workload demands and new organisational challenges. </w:t>
            </w:r>
          </w:p>
          <w:p w14:paraId="01D0676B" w14:textId="77777777" w:rsidR="00B70213" w:rsidRPr="00B70213" w:rsidRDefault="00B70213">
            <w:pPr>
              <w:spacing w:after="0" w:line="240" w:lineRule="auto"/>
              <w:ind w:left="1080"/>
              <w:jc w:val="both"/>
              <w:rPr>
                <w:rFonts w:cs="Calibri"/>
                <w:bCs/>
                <w:sz w:val="24"/>
                <w:szCs w:val="24"/>
              </w:rPr>
            </w:pPr>
          </w:p>
          <w:p w14:paraId="331C36C8"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Desire to pursue own personal development and take full advantage of training provided. </w:t>
            </w:r>
          </w:p>
          <w:p w14:paraId="5C6E785D" w14:textId="77777777" w:rsidR="00B70213" w:rsidRPr="00B70213" w:rsidRDefault="00B70213">
            <w:pPr>
              <w:spacing w:after="0" w:line="240" w:lineRule="auto"/>
              <w:ind w:left="1080"/>
              <w:jc w:val="both"/>
              <w:rPr>
                <w:rFonts w:cs="Calibri"/>
                <w:bCs/>
                <w:sz w:val="24"/>
                <w:szCs w:val="24"/>
              </w:rPr>
            </w:pPr>
          </w:p>
          <w:p w14:paraId="150C733C"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Self-motivation and personal drive to complete tasks to required timescales and quality standards. </w:t>
            </w:r>
          </w:p>
          <w:p w14:paraId="19AD8A68" w14:textId="77777777" w:rsidR="00B70213" w:rsidRPr="00B70213" w:rsidRDefault="00B70213">
            <w:pPr>
              <w:spacing w:after="0" w:line="240" w:lineRule="auto"/>
              <w:ind w:left="1080"/>
              <w:jc w:val="both"/>
              <w:rPr>
                <w:rFonts w:cs="Calibri"/>
                <w:bCs/>
                <w:sz w:val="24"/>
                <w:szCs w:val="24"/>
              </w:rPr>
            </w:pPr>
          </w:p>
          <w:p w14:paraId="31A387CE"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Ongoing commitment to inclusive education practices and equality of opportunity. </w:t>
            </w:r>
          </w:p>
          <w:p w14:paraId="699DC35F" w14:textId="77777777" w:rsidR="00B70213" w:rsidRPr="00B70213" w:rsidRDefault="00B70213">
            <w:pPr>
              <w:spacing w:after="0" w:line="240" w:lineRule="auto"/>
              <w:ind w:left="1080"/>
              <w:jc w:val="both"/>
              <w:rPr>
                <w:rFonts w:cs="Calibri"/>
                <w:bCs/>
                <w:sz w:val="24"/>
                <w:szCs w:val="24"/>
              </w:rPr>
            </w:pPr>
          </w:p>
          <w:p w14:paraId="645D1609"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Personal commitment to ensure services are equally accessible and appropriate to the diverse needs of service users. </w:t>
            </w:r>
          </w:p>
          <w:p w14:paraId="62234124" w14:textId="77777777" w:rsidR="00B70213" w:rsidRPr="00B70213" w:rsidRDefault="00B70213">
            <w:pPr>
              <w:spacing w:after="0" w:line="240" w:lineRule="auto"/>
              <w:ind w:left="1080"/>
              <w:jc w:val="both"/>
              <w:rPr>
                <w:rFonts w:cs="Calibri"/>
                <w:bCs/>
                <w:sz w:val="24"/>
                <w:szCs w:val="24"/>
              </w:rPr>
            </w:pPr>
          </w:p>
          <w:p w14:paraId="7D86F52A"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To contribute to the management of change by effective planning, development and implementation of changes in working practice, new services or changes in service delivery. </w:t>
            </w:r>
          </w:p>
          <w:p w14:paraId="3D784C76" w14:textId="77777777" w:rsidR="00B70213" w:rsidRPr="00B70213" w:rsidRDefault="00B70213">
            <w:pPr>
              <w:spacing w:after="0" w:line="240" w:lineRule="auto"/>
              <w:ind w:left="1080"/>
              <w:jc w:val="both"/>
              <w:rPr>
                <w:rFonts w:cs="Calibri"/>
                <w:bCs/>
                <w:sz w:val="24"/>
                <w:szCs w:val="24"/>
              </w:rPr>
            </w:pPr>
          </w:p>
          <w:p w14:paraId="4B1A1C9D"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 xml:space="preserve">Flexibility in approaches to work including service locations arrangements and working outside core hours. </w:t>
            </w:r>
          </w:p>
          <w:p w14:paraId="43C89365" w14:textId="77777777" w:rsidR="00B70213" w:rsidRPr="00B70213" w:rsidRDefault="00B70213">
            <w:pPr>
              <w:spacing w:after="0" w:line="240" w:lineRule="auto"/>
              <w:ind w:left="1080"/>
              <w:jc w:val="both"/>
              <w:rPr>
                <w:rFonts w:cs="Calibri"/>
                <w:bCs/>
                <w:sz w:val="24"/>
                <w:szCs w:val="24"/>
              </w:rPr>
            </w:pPr>
          </w:p>
          <w:p w14:paraId="21F7EE3E" w14:textId="77777777" w:rsidR="00B70213" w:rsidRPr="00B70213" w:rsidRDefault="00B70213" w:rsidP="00B353FE">
            <w:pPr>
              <w:numPr>
                <w:ilvl w:val="0"/>
                <w:numId w:val="1"/>
              </w:numPr>
              <w:spacing w:after="0" w:line="240" w:lineRule="auto"/>
              <w:jc w:val="both"/>
              <w:rPr>
                <w:rFonts w:cs="Calibri"/>
                <w:bCs/>
                <w:sz w:val="24"/>
                <w:szCs w:val="24"/>
              </w:rPr>
            </w:pPr>
            <w:r w:rsidRPr="00B70213">
              <w:rPr>
                <w:rFonts w:cs="Calibri"/>
                <w:sz w:val="24"/>
                <w:szCs w:val="24"/>
              </w:rPr>
              <w:t>Be willing to consent to and apply for an enhanced disclosure check to the DBS (Disclosure and Barring Service).</w:t>
            </w:r>
          </w:p>
          <w:p w14:paraId="00CB53CD" w14:textId="77777777" w:rsidR="00B70213" w:rsidRPr="00B70213" w:rsidRDefault="00B70213" w:rsidP="00B70213">
            <w:pPr>
              <w:spacing w:after="0" w:line="240" w:lineRule="auto"/>
              <w:jc w:val="both"/>
              <w:rPr>
                <w:rFonts w:cs="Calibri"/>
                <w:bCs/>
                <w:sz w:val="24"/>
                <w:szCs w:val="24"/>
              </w:rPr>
            </w:pPr>
          </w:p>
        </w:tc>
      </w:tr>
    </w:tbl>
    <w:p w14:paraId="2366F099" w14:textId="77777777" w:rsidR="0074200A" w:rsidRDefault="0074200A" w:rsidP="00E91C58"/>
    <w:sectPr w:rsidR="00742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603"/>
    <w:multiLevelType w:val="hybridMultilevel"/>
    <w:tmpl w:val="032C30DA"/>
    <w:lvl w:ilvl="0" w:tplc="B276E9CE">
      <w:start w:val="16"/>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96288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13"/>
    <w:rsid w:val="00152636"/>
    <w:rsid w:val="0074200A"/>
    <w:rsid w:val="00757AFF"/>
    <w:rsid w:val="00A14E19"/>
    <w:rsid w:val="00B70213"/>
    <w:rsid w:val="00E9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FB3DD"/>
  <w15:chartTrackingRefBased/>
  <w15:docId w15:val="{5DE1222B-1069-4787-A7B0-38C0FB6B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1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7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213"/>
    <w:rPr>
      <w:rFonts w:eastAsiaTheme="majorEastAsia" w:cstheme="majorBidi"/>
      <w:color w:val="272727" w:themeColor="text1" w:themeTint="D8"/>
    </w:rPr>
  </w:style>
  <w:style w:type="paragraph" w:styleId="Title">
    <w:name w:val="Title"/>
    <w:basedOn w:val="Normal"/>
    <w:next w:val="Normal"/>
    <w:link w:val="TitleChar"/>
    <w:uiPriority w:val="10"/>
    <w:qFormat/>
    <w:rsid w:val="00B7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213"/>
    <w:pPr>
      <w:spacing w:before="160"/>
      <w:jc w:val="center"/>
    </w:pPr>
    <w:rPr>
      <w:i/>
      <w:iCs/>
      <w:color w:val="404040" w:themeColor="text1" w:themeTint="BF"/>
    </w:rPr>
  </w:style>
  <w:style w:type="character" w:customStyle="1" w:styleId="QuoteChar">
    <w:name w:val="Quote Char"/>
    <w:basedOn w:val="DefaultParagraphFont"/>
    <w:link w:val="Quote"/>
    <w:uiPriority w:val="29"/>
    <w:rsid w:val="00B70213"/>
    <w:rPr>
      <w:i/>
      <w:iCs/>
      <w:color w:val="404040" w:themeColor="text1" w:themeTint="BF"/>
    </w:rPr>
  </w:style>
  <w:style w:type="paragraph" w:styleId="ListParagraph">
    <w:name w:val="List Paragraph"/>
    <w:basedOn w:val="Normal"/>
    <w:uiPriority w:val="34"/>
    <w:qFormat/>
    <w:rsid w:val="00B70213"/>
    <w:pPr>
      <w:ind w:left="720"/>
      <w:contextualSpacing/>
    </w:pPr>
  </w:style>
  <w:style w:type="character" w:styleId="IntenseEmphasis">
    <w:name w:val="Intense Emphasis"/>
    <w:basedOn w:val="DefaultParagraphFont"/>
    <w:uiPriority w:val="21"/>
    <w:qFormat/>
    <w:rsid w:val="00B70213"/>
    <w:rPr>
      <w:i/>
      <w:iCs/>
      <w:color w:val="0F4761" w:themeColor="accent1" w:themeShade="BF"/>
    </w:rPr>
  </w:style>
  <w:style w:type="paragraph" w:styleId="IntenseQuote">
    <w:name w:val="Intense Quote"/>
    <w:basedOn w:val="Normal"/>
    <w:next w:val="Normal"/>
    <w:link w:val="IntenseQuoteChar"/>
    <w:uiPriority w:val="30"/>
    <w:qFormat/>
    <w:rsid w:val="00B7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213"/>
    <w:rPr>
      <w:i/>
      <w:iCs/>
      <w:color w:val="0F4761" w:themeColor="accent1" w:themeShade="BF"/>
    </w:rPr>
  </w:style>
  <w:style w:type="character" w:styleId="IntenseReference">
    <w:name w:val="Intense Reference"/>
    <w:basedOn w:val="DefaultParagraphFont"/>
    <w:uiPriority w:val="32"/>
    <w:qFormat/>
    <w:rsid w:val="00B70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1" ma:contentTypeDescription="Create a new document." ma:contentTypeScope="" ma:versionID="044b794d2192a3d0bb23733f88092f4c">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4e5166c00d5325c7713219ac8bd80862"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2E298-FA46-44C5-9EDB-2D7F3787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2C9FA-4BF5-49CB-AF29-A8AE94EA89E6}">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3.xml><?xml version="1.0" encoding="utf-8"?>
<ds:datastoreItem xmlns:ds="http://schemas.openxmlformats.org/officeDocument/2006/customXml" ds:itemID="{5F68AD32-F8E8-4DBE-B6AE-F65ABB0B3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Law</dc:creator>
  <cp:keywords/>
  <dc:description/>
  <cp:lastModifiedBy>Zoe Law</cp:lastModifiedBy>
  <cp:revision>2</cp:revision>
  <dcterms:created xsi:type="dcterms:W3CDTF">2025-11-07T10:04:00Z</dcterms:created>
  <dcterms:modified xsi:type="dcterms:W3CDTF">2025-11-07T10:07:00Z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MediaServiceImageTags">
    <vt:lpwstr/>
  </property>
</Properties>
</file>