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0C2A"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Manchester City Council</w:t>
      </w:r>
    </w:p>
    <w:p w14:paraId="1DA3AC7C"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Role Profile</w:t>
      </w:r>
    </w:p>
    <w:p w14:paraId="2B1CC307"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p>
    <w:p w14:paraId="09729CF1"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Commissioning Officer, Grade 7</w:t>
      </w:r>
    </w:p>
    <w:p w14:paraId="0CFB8246"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Homelessness Commissioning Team, Neighbourhoods Directorate</w:t>
      </w:r>
    </w:p>
    <w:p w14:paraId="27C17E2A"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Reports to: Commissioning Manager</w:t>
      </w:r>
    </w:p>
    <w:p w14:paraId="4511D6B7"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Job Family: Commissioning and Commercial</w:t>
      </w:r>
    </w:p>
    <w:p w14:paraId="586712EE" w14:textId="77777777" w:rsidR="00B278A8" w:rsidRDefault="00B278A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p>
    <w:p w14:paraId="054E163F"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FB823F0"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r>
        <w:rPr>
          <w:rFonts w:ascii="Arial" w:eastAsia="Arial" w:hAnsi="Arial" w:cs="Arial"/>
          <w:b/>
          <w:bCs/>
        </w:rPr>
        <w:t xml:space="preserve">Key Role Descriptors: </w:t>
      </w:r>
    </w:p>
    <w:p w14:paraId="764778BD"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2EEFE099"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The role holder plays a critical role in delivering a range of commercial or commissioning services to a consistently high standard. The services will deliver value for money and ensure commercial viability in line with financial regulations </w:t>
      </w:r>
      <w:proofErr w:type="gramStart"/>
      <w:r>
        <w:rPr>
          <w:rFonts w:ascii="Arial" w:eastAsia="Arial" w:hAnsi="Arial" w:cs="Arial"/>
        </w:rPr>
        <w:t>in order to</w:t>
      </w:r>
      <w:proofErr w:type="gramEnd"/>
      <w:r>
        <w:rPr>
          <w:rFonts w:ascii="Arial" w:eastAsia="Arial" w:hAnsi="Arial" w:cs="Arial"/>
        </w:rPr>
        <w:t xml:space="preserve"> meet the needs of local communities as well as the priorities of the Council.</w:t>
      </w:r>
    </w:p>
    <w:p w14:paraId="438823D3"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58D3321D"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rFonts w:ascii="Arial" w:eastAsia="Arial" w:hAnsi="Arial" w:cs="Arial"/>
        </w:rPr>
        <w:t xml:space="preserve">The role holder will be responsible for the development of enhanced business management practice to deliver high quality contract compliance and/or improved commercial performance for the service. </w:t>
      </w:r>
    </w:p>
    <w:p w14:paraId="393661EB"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0FB09029"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0397388F"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The role holder will work in partnership with providers, partners, customers and colleagues, to stimulate local communities to develop and provide personalised and flexible services that deliver good outcomes for customers.</w:t>
      </w:r>
    </w:p>
    <w:p w14:paraId="5B617A3F"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459BBAD9"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025BE942"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r>
        <w:rPr>
          <w:rFonts w:ascii="Arial" w:eastAsia="Arial" w:hAnsi="Arial" w:cs="Arial"/>
          <w:b/>
          <w:bCs/>
        </w:rPr>
        <w:t xml:space="preserve">Key Role Accountabilities: </w:t>
      </w:r>
    </w:p>
    <w:p w14:paraId="1B1034F6"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7CC8CBF"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Ensure the development of a strategic approach to resource planning, procurement and commissioning </w:t>
      </w:r>
      <w:proofErr w:type="gramStart"/>
      <w:r>
        <w:rPr>
          <w:rFonts w:ascii="Arial" w:eastAsia="Arial" w:hAnsi="Arial" w:cs="Arial"/>
        </w:rPr>
        <w:t>in order to</w:t>
      </w:r>
      <w:proofErr w:type="gramEnd"/>
      <w:r>
        <w:rPr>
          <w:rFonts w:ascii="Arial" w:eastAsia="Arial" w:hAnsi="Arial" w:cs="Arial"/>
        </w:rPr>
        <w:t xml:space="preserve"> deliver a cost-effective and efficient service.  This may be through contract management and service commissioning, or through the management of a business unit.</w:t>
      </w:r>
    </w:p>
    <w:p w14:paraId="5D4061E3"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9F82DE4" w14:textId="77777777" w:rsidR="00B278A8" w:rsidRDefault="00E1386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jc w:val="both"/>
        <w:rPr>
          <w:b w:val="0"/>
          <w:bCs w:val="0"/>
        </w:rPr>
      </w:pPr>
      <w:r>
        <w:rPr>
          <w:b w:val="0"/>
          <w:bCs w:val="0"/>
        </w:rPr>
        <w:t xml:space="preserve">Provide expertise on commercial performance management and reporting issues to help ensure that customer needs are met, services improve, value for money is increased and performance against identified performance indicators improves. </w:t>
      </w:r>
      <w:proofErr w:type="gramStart"/>
      <w:r>
        <w:rPr>
          <w:b w:val="0"/>
          <w:bCs w:val="0"/>
        </w:rPr>
        <w:t>In particular improve</w:t>
      </w:r>
      <w:proofErr w:type="gramEnd"/>
      <w:r>
        <w:rPr>
          <w:b w:val="0"/>
          <w:bCs w:val="0"/>
        </w:rPr>
        <w:t xml:space="preserve"> outcomes around positive move-on from commissioned accommodation services.</w:t>
      </w:r>
    </w:p>
    <w:p w14:paraId="110530F0"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F332801"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Take a lead role in the analysis of current practice, including benchmarking against models and options, and ensuring that consistency is maintained across the piece.</w:t>
      </w:r>
    </w:p>
    <w:p w14:paraId="2142B989" w14:textId="77777777" w:rsidR="009C5465" w:rsidRDefault="009C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073933D3" w14:textId="36512E03" w:rsidR="009C5465" w:rsidRDefault="009C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sidRPr="009C5465">
        <w:rPr>
          <w:rFonts w:ascii="Arial" w:eastAsia="Arial" w:hAnsi="Arial" w:cs="Arial"/>
        </w:rPr>
        <w:t>Effectively engage with a range of stakeholders, both internal and external, to ensure the highest standard of service delivery. </w:t>
      </w:r>
    </w:p>
    <w:p w14:paraId="38926669"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636F9EE3"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rPr>
      </w:pPr>
      <w:r>
        <w:rPr>
          <w:rFonts w:ascii="Arial" w:eastAsia="Arial" w:hAnsi="Arial" w:cs="Arial"/>
          <w:color w:val="000000"/>
        </w:rPr>
        <w:t>Where appropriate, deliver quality assurance arrangements to support outcome driven commissioning; m</w:t>
      </w:r>
      <w:r>
        <w:rPr>
          <w:rFonts w:ascii="Arial" w:eastAsia="Arial" w:hAnsi="Arial" w:cs="Arial"/>
        </w:rPr>
        <w:t xml:space="preserve">onitor the </w:t>
      </w:r>
      <w:r>
        <w:rPr>
          <w:rFonts w:ascii="Arial" w:eastAsia="Arial" w:hAnsi="Arial" w:cs="Arial"/>
          <w:lang w:val="en-US" w:eastAsia="en-US" w:bidi="en-US"/>
        </w:rPr>
        <w:t>stages of the contract management process within the context of financial regulations and relevant legislation, and ensure contractual arrangements, targets and objectives are delivered within agreed timescales.</w:t>
      </w:r>
    </w:p>
    <w:p w14:paraId="4C2F5503"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4EDD392B"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lastRenderedPageBreak/>
        <w:t xml:space="preserve">Oversee the production of effective and accurate management information, ensuring that this is produced accurately and consistently to strict deadlines.  </w:t>
      </w:r>
    </w:p>
    <w:p w14:paraId="1E420FAA"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675FC15A"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rPr>
      </w:pPr>
      <w:r>
        <w:rPr>
          <w:rFonts w:ascii="Arial" w:eastAsia="Arial" w:hAnsi="Arial" w:cs="Arial"/>
        </w:rPr>
        <w:t>Roles at this level may be required to undertake management of resources.  Staff management may be through direct line management of a team (including appraisals, performance management and other duties) or through matrix management of a virtual team of officers.</w:t>
      </w:r>
    </w:p>
    <w:p w14:paraId="5F89764E"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378C7BA8" w14:textId="77777777" w:rsidR="00B278A8" w:rsidRDefault="00E13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rPr>
      </w:pPr>
      <w:r>
        <w:rPr>
          <w:rFonts w:ascii="Arial" w:eastAsia="Arial" w:hAnsi="Arial" w:cs="Arial"/>
          <w:color w:val="000000"/>
        </w:rPr>
        <w:t xml:space="preserve">Personal commitment to continuous </w:t>
      </w:r>
      <w:proofErr w:type="spellStart"/>
      <w:r>
        <w:rPr>
          <w:rFonts w:ascii="Arial" w:eastAsia="Arial" w:hAnsi="Arial" w:cs="Arial"/>
          <w:color w:val="000000"/>
        </w:rPr>
        <w:t>self development</w:t>
      </w:r>
      <w:proofErr w:type="spellEnd"/>
      <w:r>
        <w:rPr>
          <w:rFonts w:ascii="Arial" w:eastAsia="Arial" w:hAnsi="Arial" w:cs="Arial"/>
          <w:color w:val="000000"/>
        </w:rPr>
        <w:t xml:space="preserve"> and service improvement.</w:t>
      </w:r>
    </w:p>
    <w:p w14:paraId="2370B666" w14:textId="77777777" w:rsidR="00B278A8" w:rsidRDefault="00B278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rPr>
      </w:pPr>
    </w:p>
    <w:p w14:paraId="36121CC7" w14:textId="77777777" w:rsidR="00B278A8" w:rsidRDefault="00E1386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rPr>
      </w:pPr>
      <w:r>
        <w:rPr>
          <w:rFonts w:ascii="Arial" w:eastAsia="Arial" w:hAnsi="Arial" w:cs="Arial"/>
        </w:rPr>
        <w:t xml:space="preserve">Through personal example, open commitment and clear action, ensure diversity is positively valued, resulting in equal access and treatment in employment, service delivery and communications. </w:t>
      </w:r>
    </w:p>
    <w:p w14:paraId="6FE6E132"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75A3261"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rPr>
      </w:pPr>
      <w:r>
        <w:rPr>
          <w:rFonts w:ascii="Arial" w:eastAsia="Arial" w:hAnsi="Arial" w:cs="Arial"/>
          <w:b/>
          <w:bCs/>
        </w:rPr>
        <w:t xml:space="preserve">Where the role holder is </w:t>
      </w:r>
      <w:proofErr w:type="gramStart"/>
      <w:r>
        <w:rPr>
          <w:rFonts w:ascii="Arial" w:eastAsia="Arial" w:hAnsi="Arial" w:cs="Arial"/>
          <w:b/>
          <w:bCs/>
        </w:rPr>
        <w:t>disabled</w:t>
      </w:r>
      <w:proofErr w:type="gramEnd"/>
      <w:r>
        <w:rPr>
          <w:rFonts w:ascii="Arial" w:eastAsia="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 </w:t>
      </w:r>
    </w:p>
    <w:p w14:paraId="2A4B666A"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rPr>
      </w:pPr>
      <w:r>
        <w:rPr>
          <w:rFonts w:ascii="Arial" w:eastAsia="Arial" w:hAnsi="Arial" w:cs="Arial"/>
          <w:b/>
          <w:bCs/>
        </w:rPr>
        <w:br w:type="page"/>
      </w:r>
      <w:r>
        <w:rPr>
          <w:rFonts w:ascii="Arial" w:eastAsia="Arial" w:hAnsi="Arial" w:cs="Arial"/>
          <w:b/>
          <w:bCs/>
        </w:rPr>
        <w:lastRenderedPageBreak/>
        <w:t>Role Portfolio: Commissioning Officer</w:t>
      </w:r>
    </w:p>
    <w:p w14:paraId="29A4CCAC"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rPr>
      </w:pPr>
    </w:p>
    <w:p w14:paraId="324CA5FF"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b/>
          <w:bCs/>
          <w:color w:val="000000"/>
        </w:rPr>
        <w:t xml:space="preserve">Role Portfolio: </w:t>
      </w:r>
    </w:p>
    <w:p w14:paraId="4188F45D"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3E136DA0"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The Homelessness Commissioning Team sits </w:t>
      </w:r>
      <w:proofErr w:type="gramStart"/>
      <w:r>
        <w:rPr>
          <w:rFonts w:ascii="Arial" w:eastAsia="Arial" w:hAnsi="Arial" w:cs="Arial"/>
          <w:color w:val="000000"/>
        </w:rPr>
        <w:t>in  the</w:t>
      </w:r>
      <w:proofErr w:type="gramEnd"/>
      <w:r>
        <w:rPr>
          <w:rFonts w:ascii="Arial" w:eastAsia="Arial" w:hAnsi="Arial" w:cs="Arial"/>
          <w:color w:val="000000"/>
        </w:rPr>
        <w:t xml:space="preserve">  Homelessness Service and is responsible for the delivery of commissioning activity across several areas of homeless provision, including housing related support, advice, and domestic violence and abuse services. </w:t>
      </w:r>
    </w:p>
    <w:p w14:paraId="670D0F7E" w14:textId="77777777" w:rsidR="009C5465" w:rsidRDefault="009C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51B21E54" w14:textId="004D12BD" w:rsidR="009C5465" w:rsidRDefault="009C5465" w:rsidP="009C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The </w:t>
      </w:r>
      <w:r>
        <w:rPr>
          <w:rFonts w:ascii="Arial" w:eastAsia="Arial" w:hAnsi="Arial" w:cs="Arial"/>
        </w:rPr>
        <w:t>successful candidate</w:t>
      </w:r>
      <w:r>
        <w:rPr>
          <w:rFonts w:ascii="Arial" w:eastAsia="Arial" w:hAnsi="Arial" w:cs="Arial"/>
        </w:rPr>
        <w:t xml:space="preserve"> will support the efficient and timely move on from across commissioned accommodation services, including from Housing Related Support (HRS), A Bed Every Night (ABEN), and the Rough Sleepers Accommodation Programme (RSAP). </w:t>
      </w:r>
    </w:p>
    <w:p w14:paraId="6A76268F" w14:textId="77777777" w:rsidR="009C5465" w:rsidRDefault="009C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0A6164CD"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5564BF7F"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rPr>
          <w:rFonts w:ascii="Arial" w:eastAsia="Arial" w:hAnsi="Arial" w:cs="Arial"/>
        </w:rPr>
        <w:t>The successful candidate will be responsible for supporting the delivery of a portfolio of commissioning work, including developing service specifications, performance monitoring frameworks and monitoring targets. The role holder will improve the delivery of positive move-on outcomes across commissioned accommodation provision. This will include working closely with commissioned accommodation and support providers, with other colleagues in the homeless service, and the wider partnerships across Manchester</w:t>
      </w:r>
    </w:p>
    <w:p w14:paraId="15135FBA"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34C2E53"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Alongside this they will contribute to the development of wider homelessness services and strategies, supporting the service to ensure that services are strategically relevant, meet identified needs, and are good quality/value for money. They will work closely with colleagues in the Commissioning Team, including the Service Manager and Commissioning Manager, as well as other colleagues in Homelessness, providers, and people using services.</w:t>
      </w:r>
    </w:p>
    <w:p w14:paraId="3C99F221"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78EABCDE"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605C8B87"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b/>
          <w:bCs/>
          <w:color w:val="000000"/>
        </w:rPr>
        <w:t xml:space="preserve">The Purpose of the Role </w:t>
      </w:r>
    </w:p>
    <w:p w14:paraId="5961B60C"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1491DBCE"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The post holder will be responsible for:</w:t>
      </w:r>
    </w:p>
    <w:p w14:paraId="3AAA2176"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2BD28B7A" w14:textId="77777777" w:rsidR="00B278A8" w:rsidRDefault="00E1386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Contract Management – manage performance in line with contract and service specification, and </w:t>
      </w:r>
      <w:proofErr w:type="gramStart"/>
      <w:r>
        <w:rPr>
          <w:rFonts w:ascii="Arial" w:eastAsia="Arial" w:hAnsi="Arial" w:cs="Arial"/>
          <w:color w:val="000000"/>
        </w:rPr>
        <w:t>ensure  that</w:t>
      </w:r>
      <w:proofErr w:type="gramEnd"/>
      <w:r>
        <w:rPr>
          <w:rFonts w:ascii="Arial" w:eastAsia="Arial" w:hAnsi="Arial" w:cs="Arial"/>
          <w:color w:val="000000"/>
        </w:rPr>
        <w:t xml:space="preserve"> timely and appropriate move-on is delivered as a key contract requirement in accommodation services. </w:t>
      </w:r>
    </w:p>
    <w:p w14:paraId="473D9878"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210F0292" w14:textId="77777777" w:rsidR="00B278A8" w:rsidRDefault="00E1386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roofErr w:type="gramStart"/>
      <w:r>
        <w:rPr>
          <w:rFonts w:ascii="Arial" w:eastAsia="Arial" w:hAnsi="Arial" w:cs="Arial"/>
          <w:color w:val="000000"/>
        </w:rPr>
        <w:t>Procurement  –</w:t>
      </w:r>
      <w:proofErr w:type="gramEnd"/>
      <w:r>
        <w:rPr>
          <w:rFonts w:ascii="Arial" w:eastAsia="Arial" w:hAnsi="Arial" w:cs="Arial"/>
          <w:color w:val="000000"/>
        </w:rPr>
        <w:t xml:space="preserve"> supporting the Homelessness Commissioning team to commission delivery partners and provide expert consultancy support as appropriate via the appropriate framework.  . </w:t>
      </w:r>
    </w:p>
    <w:p w14:paraId="57E25FBF"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p>
    <w:p w14:paraId="228011E2" w14:textId="77777777" w:rsidR="00B278A8" w:rsidRDefault="00E1386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Developing and maintaining strong collaborative relationships with internal and external partners and stakeholders as appropriate for the project</w:t>
      </w:r>
    </w:p>
    <w:p w14:paraId="263AC95E"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384BF2D1" w14:textId="77777777" w:rsidR="00B278A8" w:rsidRDefault="00E1386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rPr>
        <w:t>Contributing to the development of services working closely with colleagues, providers, citizens and other stakeholders.</w:t>
      </w:r>
    </w:p>
    <w:p w14:paraId="54AF0355"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91FB1B0" w14:textId="77777777" w:rsidR="00B278A8" w:rsidRDefault="00E1386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rPr>
        <w:lastRenderedPageBreak/>
        <w:t>Supporting the wider team to ensure that services are strategically relevant, meet identified needs, agreed outcomes, achieve performance targets, and are good quality/value for money.</w:t>
      </w:r>
    </w:p>
    <w:p w14:paraId="2FF096AA" w14:textId="77777777" w:rsidR="00B278A8" w:rsidRDefault="00B278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Arial" w:eastAsia="Arial" w:hAnsi="Arial" w:cs="Arial"/>
        </w:rPr>
      </w:pPr>
    </w:p>
    <w:p w14:paraId="3BD0B68C"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rPr>
      </w:pPr>
    </w:p>
    <w:p w14:paraId="50F7FAF1"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462C079" w14:textId="77777777" w:rsidR="00B278A8" w:rsidRDefault="00E13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u w:val="single"/>
        </w:rPr>
      </w:pPr>
      <w:r>
        <w:rPr>
          <w:rFonts w:ascii="Arial" w:eastAsia="Arial" w:hAnsi="Arial" w:cs="Arial"/>
          <w:b/>
          <w:bCs/>
          <w:u w:val="single"/>
        </w:rPr>
        <w:t>Key Behaviours, Skills and Technical Requirements</w:t>
      </w:r>
    </w:p>
    <w:p w14:paraId="6B7EC263"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8F44766" w14:textId="77777777" w:rsidR="00B278A8" w:rsidRDefault="00E1386B">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rPr>
      </w:pPr>
      <w:r>
        <w:rPr>
          <w:rFonts w:ascii="Arial" w:eastAsia="Arial" w:hAnsi="Arial" w:cs="Arial"/>
          <w:b/>
          <w:bCs/>
        </w:rPr>
        <w:t>Our Manchester Behaviours</w:t>
      </w:r>
    </w:p>
    <w:p w14:paraId="4E640293" w14:textId="77777777" w:rsidR="00B278A8" w:rsidRDefault="00B278A8">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color w:val="000000"/>
        </w:rPr>
      </w:pPr>
    </w:p>
    <w:p w14:paraId="6DC3983E" w14:textId="77777777" w:rsidR="00B278A8" w:rsidRDefault="00E1386B">
      <w:pPr>
        <w:pStyle w:val="BODY"/>
        <w:numPr>
          <w:ilvl w:val="0"/>
          <w:numId w:val="3"/>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are proud and passionate about Manchester </w:t>
      </w:r>
    </w:p>
    <w:p w14:paraId="03B4705F" w14:textId="77777777" w:rsidR="00B278A8" w:rsidRDefault="00E1386B">
      <w:pPr>
        <w:pStyle w:val="BODY"/>
        <w:numPr>
          <w:ilvl w:val="0"/>
          <w:numId w:val="3"/>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take time to listen and understand  </w:t>
      </w:r>
    </w:p>
    <w:p w14:paraId="3C47AB14" w14:textId="77777777" w:rsidR="00B278A8" w:rsidRDefault="00E1386B">
      <w:pPr>
        <w:pStyle w:val="BODY"/>
        <w:numPr>
          <w:ilvl w:val="0"/>
          <w:numId w:val="3"/>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‘own it’ and we’re not afraid to try new things   </w:t>
      </w:r>
    </w:p>
    <w:p w14:paraId="247AEB72" w14:textId="77777777" w:rsidR="00B278A8" w:rsidRDefault="00E1386B">
      <w:pPr>
        <w:pStyle w:val="BODY"/>
        <w:numPr>
          <w:ilvl w:val="0"/>
          <w:numId w:val="3"/>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work together and trust each other </w:t>
      </w:r>
    </w:p>
    <w:p w14:paraId="1AA72B57" w14:textId="77777777" w:rsidR="00B278A8" w:rsidRDefault="00E1386B">
      <w:pPr>
        <w:pStyle w:val="BODY"/>
        <w:numPr>
          <w:ilvl w:val="0"/>
          <w:numId w:val="4"/>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We show that we value our differences and treat people fairly </w:t>
      </w:r>
    </w:p>
    <w:p w14:paraId="1A36618E"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334939DC" w14:textId="77777777" w:rsidR="00B278A8" w:rsidRDefault="00E1386B">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color w:val="FF0000"/>
        </w:rPr>
      </w:pPr>
      <w:r>
        <w:rPr>
          <w:rFonts w:ascii="Arial" w:eastAsia="Arial" w:hAnsi="Arial" w:cs="Arial"/>
          <w:b/>
          <w:bCs/>
        </w:rPr>
        <w:t xml:space="preserve">Generic Skills </w:t>
      </w:r>
    </w:p>
    <w:p w14:paraId="1B3D8C62"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233F4ED0" w14:textId="77777777" w:rsidR="00B278A8" w:rsidRDefault="00E1386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b/>
          <w:bCs/>
        </w:rPr>
        <w:t xml:space="preserve">Communication Skills: </w:t>
      </w:r>
      <w:r>
        <w:rPr>
          <w:rFonts w:ascii="Arial" w:eastAsia="Arial" w:hAnsi="Arial" w:cs="Arial"/>
        </w:rPr>
        <w:t>Writes convincingly and clearly, succinctly and correctly, avoids the unnecessary use of jargon or complicated language; writes in a well-structured and logical way and structures information to meet the needs and understanding of the intended audience.</w:t>
      </w:r>
    </w:p>
    <w:p w14:paraId="4EBF58C7" w14:textId="77777777" w:rsidR="00B278A8" w:rsidRDefault="00E1386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b/>
          <w:bCs/>
        </w:rPr>
        <w:t xml:space="preserve">Analytical Skills: </w:t>
      </w:r>
      <w:r>
        <w:rPr>
          <w:rFonts w:ascii="Arial" w:eastAsia="Arial" w:hAnsi="Arial" w:cs="Arial"/>
        </w:rPr>
        <w:t>Ability to identify patterns and trends that may impact on decisions and propose realistic conclusions identifying the risks and any assumptions made</w:t>
      </w:r>
    </w:p>
    <w:p w14:paraId="1DBDB49E" w14:textId="77777777" w:rsidR="00B278A8" w:rsidRDefault="00E1386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b/>
          <w:bCs/>
        </w:rPr>
        <w:t xml:space="preserve">Planning and Organising Skills: </w:t>
      </w:r>
      <w:r>
        <w:rPr>
          <w:rFonts w:ascii="Arial" w:eastAsia="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11C6E193" w14:textId="77777777" w:rsidR="00B278A8" w:rsidRDefault="00E1386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b/>
          <w:bCs/>
        </w:rPr>
        <w:t xml:space="preserve">Problem Solving Skills: </w:t>
      </w:r>
      <w:r>
        <w:rPr>
          <w:rFonts w:ascii="Arial" w:eastAsia="Arial" w:hAnsi="Arial" w:cs="Arial"/>
        </w:rPr>
        <w:t>Continually performs at high levels of achievement, demonstrating tenacity, energy and commitment to achieve desired results.</w:t>
      </w:r>
    </w:p>
    <w:p w14:paraId="15C88585" w14:textId="77777777" w:rsidR="00B278A8" w:rsidRDefault="00E1386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b/>
          <w:bCs/>
        </w:rPr>
        <w:t xml:space="preserve">Creative Skills: </w:t>
      </w:r>
      <w:r>
        <w:rPr>
          <w:rFonts w:ascii="Arial" w:eastAsia="Arial" w:hAnsi="Arial" w:cs="Arial"/>
        </w:rPr>
        <w:t>Ability to find creative solutions where there are no existing parameters or procedural framework.</w:t>
      </w:r>
    </w:p>
    <w:p w14:paraId="48B6ECDF" w14:textId="77777777" w:rsidR="00B278A8" w:rsidRDefault="00E1386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b/>
          <w:bCs/>
        </w:rPr>
        <w:t xml:space="preserve">Commissioning Skills: </w:t>
      </w:r>
      <w:r>
        <w:rPr>
          <w:rFonts w:ascii="Arial" w:eastAsia="Arial" w:hAnsi="Arial" w:cs="Arial"/>
        </w:rPr>
        <w:t>Ability to use the skills and knowledge of partners to inform commissioning intentions in a wide area of activity.</w:t>
      </w:r>
    </w:p>
    <w:p w14:paraId="2CAA11A3" w14:textId="77777777" w:rsidR="00B278A8" w:rsidRDefault="00B278A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rPr>
      </w:pPr>
    </w:p>
    <w:p w14:paraId="13735FE7" w14:textId="77777777" w:rsidR="00B278A8" w:rsidRDefault="00E1386B">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color w:val="FF0000"/>
        </w:rPr>
      </w:pPr>
      <w:r>
        <w:rPr>
          <w:rFonts w:ascii="Arial" w:eastAsia="Arial" w:hAnsi="Arial" w:cs="Arial"/>
          <w:b/>
          <w:bCs/>
        </w:rPr>
        <w:t>Technical Requirements (Role Specific)</w:t>
      </w:r>
    </w:p>
    <w:p w14:paraId="4C32D18C" w14:textId="77777777" w:rsidR="00B278A8" w:rsidRDefault="00B278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rPr>
      </w:pPr>
    </w:p>
    <w:p w14:paraId="549DBD47" w14:textId="77777777" w:rsidR="00B278A8" w:rsidRDefault="00E1386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Consent to and apply for </w:t>
      </w:r>
      <w:proofErr w:type="gramStart"/>
      <w:r>
        <w:rPr>
          <w:rFonts w:ascii="Arial" w:eastAsia="Arial" w:hAnsi="Arial" w:cs="Arial"/>
        </w:rPr>
        <w:t>an</w:t>
      </w:r>
      <w:proofErr w:type="gramEnd"/>
      <w:r>
        <w:rPr>
          <w:rFonts w:ascii="Arial" w:eastAsia="Arial" w:hAnsi="Arial" w:cs="Arial"/>
        </w:rPr>
        <w:t xml:space="preserve"> standard Disclosure and Barring Service (DBS) Check</w:t>
      </w:r>
    </w:p>
    <w:p w14:paraId="42732954" w14:textId="77777777" w:rsidR="00B278A8" w:rsidRDefault="00B27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sectPr w:rsidR="00B278A8">
      <w:headerReference w:type="default" r:id="rId10"/>
      <w:footerReference w:type="default" r:id="rId11"/>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D5393" w14:textId="77777777" w:rsidR="00E1386B" w:rsidRDefault="00E1386B">
      <w:r>
        <w:separator/>
      </w:r>
    </w:p>
  </w:endnote>
  <w:endnote w:type="continuationSeparator" w:id="0">
    <w:p w14:paraId="4C03CB1F" w14:textId="77777777" w:rsidR="00E1386B" w:rsidRDefault="00E1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078E" w14:textId="77777777" w:rsidR="00B278A8" w:rsidRDefault="00E1386B">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eastAsia="Tahoma" w:hAnsi="Tahoma" w:cs="Tahoma"/>
        <w:b/>
        <w:bCs/>
        <w:sz w:val="20"/>
        <w:szCs w:val="20"/>
      </w:rPr>
    </w:pPr>
    <w:r>
      <w:rPr>
        <w:rFonts w:ascii="Tahoma" w:eastAsia="Tahoma" w:hAnsi="Tahoma" w:cs="Tahoma"/>
        <w:b/>
        <w:bCs/>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6023" w14:textId="77777777" w:rsidR="00E1386B" w:rsidRDefault="00E1386B">
      <w:r>
        <w:separator/>
      </w:r>
    </w:p>
  </w:footnote>
  <w:footnote w:type="continuationSeparator" w:id="0">
    <w:p w14:paraId="78C0503D" w14:textId="77777777" w:rsidR="00E1386B" w:rsidRDefault="00E13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87C6" w14:textId="77777777" w:rsidR="00B278A8" w:rsidRDefault="00E1386B">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b/>
        <w:bCs/>
        <w:sz w:val="16"/>
        <w:szCs w:val="16"/>
      </w:rPr>
    </w:pPr>
    <w:r>
      <w:rPr>
        <w:b/>
        <w:bCs/>
        <w:noProof/>
        <w:sz w:val="16"/>
        <w:szCs w:val="16"/>
      </w:rPr>
      <w:drawing>
        <wp:inline distT="0" distB="0" distL="0" distR="0" wp14:anchorId="329F6E97" wp14:editId="2962653B">
          <wp:extent cx="2132330" cy="4095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132330" cy="409575"/>
                  </a:xfrm>
                  <a:prstGeom prst="rect">
                    <a:avLst/>
                  </a:prstGeom>
                </pic:spPr>
              </pic:pic>
            </a:graphicData>
          </a:graphic>
        </wp:inline>
      </w:drawing>
    </w:r>
  </w:p>
  <w:p w14:paraId="2EDAC140" w14:textId="77777777" w:rsidR="00B278A8" w:rsidRDefault="00B278A8">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21A9D"/>
    <w:multiLevelType w:val="singleLevel"/>
    <w:tmpl w:val="5D306ED2"/>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4"/>
        <w:u w:val="none"/>
        <w:shd w:val="clear" w:color="auto" w:fill="auto"/>
      </w:rPr>
    </w:lvl>
  </w:abstractNum>
  <w:abstractNum w:abstractNumId="1" w15:restartNumberingAfterBreak="0">
    <w:nsid w:val="1C227CE8"/>
    <w:multiLevelType w:val="singleLevel"/>
    <w:tmpl w:val="487AD536"/>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4"/>
        <w:u w:val="none"/>
        <w:shd w:val="clear" w:color="auto" w:fill="auto"/>
      </w:rPr>
    </w:lvl>
  </w:abstractNum>
  <w:abstractNum w:abstractNumId="2" w15:restartNumberingAfterBreak="0">
    <w:nsid w:val="69787862"/>
    <w:multiLevelType w:val="singleLevel"/>
    <w:tmpl w:val="2DC428BE"/>
    <w:lvl w:ilvl="0">
      <w:start w:val="1"/>
      <w:numFmt w:val="bullet"/>
      <w:lvlText w:val=""/>
      <w:lvlJc w:val="left"/>
      <w:pPr>
        <w:tabs>
          <w:tab w:val="num" w:pos="720"/>
        </w:tabs>
        <w:ind w:left="720" w:hanging="360"/>
      </w:pPr>
      <w:rPr>
        <w:rFonts w:ascii="Symbol" w:eastAsia="Symbol" w:hAnsi="Symbol" w:cs="Symbol" w:hint="default"/>
        <w:b w:val="0"/>
        <w:i w:val="0"/>
        <w:strike w:val="0"/>
        <w:color w:val="000000"/>
        <w:position w:val="0"/>
        <w:sz w:val="24"/>
        <w:u w:val="none"/>
        <w:shd w:val="clear" w:color="auto" w:fill="auto"/>
      </w:rPr>
    </w:lvl>
  </w:abstractNum>
  <w:abstractNum w:abstractNumId="3" w15:restartNumberingAfterBreak="0">
    <w:nsid w:val="7A3E742A"/>
    <w:multiLevelType w:val="singleLevel"/>
    <w:tmpl w:val="942E31AE"/>
    <w:lvl w:ilvl="0">
      <w:start w:val="1"/>
      <w:numFmt w:val="bullet"/>
      <w:lvlText w:val=""/>
      <w:lvlJc w:val="left"/>
      <w:pPr>
        <w:tabs>
          <w:tab w:val="num" w:pos="360"/>
        </w:tabs>
        <w:ind w:left="360" w:hanging="360"/>
      </w:pPr>
      <w:rPr>
        <w:rFonts w:ascii="Symbol" w:eastAsia="Symbol" w:hAnsi="Symbol" w:cs="Symbol" w:hint="default"/>
        <w:b w:val="0"/>
        <w:i w:val="0"/>
        <w:strike w:val="0"/>
        <w:color w:val="000000"/>
        <w:position w:val="0"/>
        <w:sz w:val="24"/>
        <w:u w:val="none"/>
        <w:shd w:val="clear" w:color="auto" w:fill="auto"/>
      </w:rPr>
    </w:lvl>
  </w:abstractNum>
  <w:abstractNum w:abstractNumId="4" w15:restartNumberingAfterBreak="0">
    <w:nsid w:val="7C6F075E"/>
    <w:multiLevelType w:val="singleLevel"/>
    <w:tmpl w:val="9552DD9C"/>
    <w:lvl w:ilvl="0">
      <w:start w:val="1"/>
      <w:numFmt w:val="bullet"/>
      <w:lvlText w:val=""/>
      <w:lvlJc w:val="left"/>
      <w:pPr>
        <w:tabs>
          <w:tab w:val="num" w:pos="720"/>
        </w:tabs>
        <w:ind w:left="720" w:hanging="360"/>
      </w:pPr>
      <w:rPr>
        <w:rFonts w:ascii="Symbol" w:eastAsia="Symbol" w:hAnsi="Symbol" w:cs="Symbol" w:hint="default"/>
        <w:b/>
        <w:i w:val="0"/>
        <w:strike w:val="0"/>
        <w:color w:val="auto"/>
        <w:position w:val="0"/>
        <w:sz w:val="24"/>
        <w:u w:val="none"/>
        <w:shd w:val="clear" w:color="auto" w:fill="auto"/>
      </w:rPr>
    </w:lvl>
  </w:abstractNum>
  <w:num w:numId="1" w16cid:durableId="428084512">
    <w:abstractNumId w:val="2"/>
  </w:num>
  <w:num w:numId="2" w16cid:durableId="1708722317">
    <w:abstractNumId w:val="1"/>
  </w:num>
  <w:num w:numId="3" w16cid:durableId="1157380556">
    <w:abstractNumId w:val="3"/>
  </w:num>
  <w:num w:numId="4" w16cid:durableId="1543790904">
    <w:abstractNumId w:val="0"/>
  </w:num>
  <w:num w:numId="5" w16cid:durableId="983851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A8"/>
    <w:rsid w:val="00471DA9"/>
    <w:rsid w:val="009B483B"/>
    <w:rsid w:val="009C5465"/>
    <w:rsid w:val="00B278A8"/>
    <w:rsid w:val="00E1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295D"/>
  <w15:docId w15:val="{CDB66512-8C38-4A9D-8A40-19C05EAB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en-GB"/>
    </w:rPr>
  </w:style>
  <w:style w:type="paragraph" w:styleId="Heading1">
    <w:name w:val="heading 1"/>
    <w:basedOn w:val="Normal"/>
    <w:next w:val="Normal"/>
    <w:uiPriority w:val="9"/>
    <w:qFormat/>
    <w:pPr>
      <w:keepNext/>
      <w:outlineLvl w:val="0"/>
    </w:pPr>
    <w:rPr>
      <w:rFonts w:ascii="Arial" w:eastAsia="Arial" w:hAnsi="Arial" w:cs="Arial"/>
      <w:b/>
      <w:bCs/>
    </w:rPr>
  </w:style>
  <w:style w:type="paragraph" w:styleId="Heading2">
    <w:name w:val="heading 2"/>
    <w:basedOn w:val="Normal"/>
    <w:next w:val="Normal"/>
    <w:uiPriority w:val="9"/>
    <w:semiHidden/>
    <w:unhideWhenUsed/>
    <w:qFormat/>
    <w:pPr>
      <w:keepNext/>
      <w:jc w:val="both"/>
      <w:outlineLvl w:val="1"/>
    </w:pPr>
    <w:rPr>
      <w:rFonts w:ascii="Arial" w:eastAsia="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styleId="Header">
    <w:name w:val="header"/>
    <w:basedOn w:val="Normal"/>
    <w:qFormat/>
    <w:pPr>
      <w:tabs>
        <w:tab w:val="center" w:pos="4320"/>
        <w:tab w:val="right" w:pos="8640"/>
      </w:tabs>
    </w:pPr>
    <w:rPr>
      <w:rFonts w:ascii="Arial" w:eastAsia="Arial" w:hAnsi="Arial" w:cs="Arial"/>
    </w:rPr>
  </w:style>
  <w:style w:type="paragraph" w:styleId="Footer">
    <w:name w:val="footer"/>
    <w:basedOn w:val="Normal"/>
    <w:qFormat/>
    <w:pPr>
      <w:tabs>
        <w:tab w:val="center" w:pos="4153"/>
        <w:tab w:val="right" w:pos="8306"/>
      </w:tabs>
    </w:pPr>
  </w:style>
  <w:style w:type="paragraph" w:customStyle="1" w:styleId="DefaultText">
    <w:name w:val="Default Text"/>
    <w:basedOn w:val="Normal"/>
    <w:qFormat/>
    <w:rPr>
      <w:rFonts w:ascii="Arial" w:eastAsia="Arial" w:hAnsi="Arial" w:cs="Arial"/>
      <w:color w:val="000000"/>
      <w:lang w:val="en-US" w:eastAsia="en-US" w:bidi="en-US"/>
    </w:rPr>
  </w:style>
  <w:style w:type="paragraph" w:styleId="ListParagraph">
    <w:name w:val="List Paragraph"/>
    <w:basedOn w:val="Normal"/>
    <w:qFormat/>
    <w:pPr>
      <w:ind w:left="720"/>
    </w:pPr>
  </w:style>
  <w:style w:type="paragraph" w:customStyle="1" w:styleId="DefaultText1">
    <w:name w:val="Default Text:1"/>
    <w:basedOn w:val="Normal"/>
    <w:qFormat/>
    <w:rPr>
      <w:color w:val="000000"/>
      <w:lang w:val="en-US" w:eastAsia="en-US" w:bidi="en-US"/>
    </w:rPr>
  </w:style>
  <w:style w:type="paragraph" w:styleId="BodyText">
    <w:name w:val="Body Text"/>
    <w:basedOn w:val="Normal"/>
    <w:qFormat/>
    <w:rPr>
      <w:rFonts w:ascii="Arial" w:eastAsia="Arial" w:hAnsi="Arial" w:cs="Arial"/>
      <w:u w:val="single"/>
    </w:rPr>
  </w:style>
  <w:style w:type="paragraph" w:styleId="BodyTextIndent3">
    <w:name w:val="Body Text Indent 3"/>
    <w:basedOn w:val="Normal"/>
    <w:qFormat/>
    <w:pPr>
      <w:spacing w:after="120"/>
      <w:ind w:left="283"/>
    </w:pPr>
    <w:rPr>
      <w:sz w:val="16"/>
      <w:szCs w:val="16"/>
    </w:rPr>
  </w:style>
  <w:style w:type="paragraph" w:styleId="BalloonText">
    <w:name w:val="Balloon Text"/>
    <w:basedOn w:val="Normal"/>
    <w:qFormat/>
    <w:rPr>
      <w:rFonts w:ascii="Tahoma" w:eastAsia="Tahoma" w:hAnsi="Tahoma" w:cs="Tahoma"/>
      <w:sz w:val="16"/>
      <w:szCs w:val="16"/>
    </w:rPr>
  </w:style>
  <w:style w:type="paragraph" w:customStyle="1" w:styleId="TableText">
    <w:name w:val="Table Text"/>
    <w:basedOn w:val="Normal"/>
    <w:qFormat/>
    <w:pPr>
      <w:widowControl w:val="0"/>
      <w:jc w:val="right"/>
    </w:pPr>
    <w:rPr>
      <w:rFonts w:ascii="Arial" w:eastAsia="Arial" w:hAnsi="Arial" w:cs="Arial"/>
    </w:rPr>
  </w:style>
  <w:style w:type="paragraph" w:customStyle="1" w:styleId="ssdefault">
    <w:name w:val="ss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40" w:lineRule="atLeast"/>
    </w:pPr>
    <w:rPr>
      <w:rFonts w:ascii="Arial Narrow" w:eastAsia="Arial Narrow" w:hAnsi="Arial Narrow" w:cs="Arial Narrow"/>
      <w:color w:val="000000"/>
      <w:lang w:val="en-US" w:eastAsia="en-US" w:bidi="en-US"/>
    </w:rPr>
  </w:style>
  <w:style w:type="paragraph" w:styleId="Revision">
    <w:name w:val="Revision"/>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cs="Times New Roman"/>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86E3A6244044B8EC9F4A0C25241CE" ma:contentTypeVersion="5" ma:contentTypeDescription="Create a new document." ma:contentTypeScope="" ma:versionID="f9f102a1580fddca26114bd796fd78fb">
  <xsd:schema xmlns:xsd="http://www.w3.org/2001/XMLSchema" xmlns:xs="http://www.w3.org/2001/XMLSchema" xmlns:p="http://schemas.microsoft.com/office/2006/metadata/properties" xmlns:ns3="bcfbe038-0ab3-423e-893a-b39695f7a5cd" targetNamespace="http://schemas.microsoft.com/office/2006/metadata/properties" ma:root="true" ma:fieldsID="b071038e16eb96902341218093617608" ns3:_="">
    <xsd:import namespace="bcfbe038-0ab3-423e-893a-b39695f7a5c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be038-0ab3-423e-893a-b39695f7a5c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764FD-6933-49AE-829F-B2C6430E40CE}">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bcfbe038-0ab3-423e-893a-b39695f7a5cd"/>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8789EFA-6D4F-45A6-AB1A-9614084B722D}">
  <ds:schemaRefs>
    <ds:schemaRef ds:uri="http://schemas.microsoft.com/sharepoint/v3/contenttype/forms"/>
  </ds:schemaRefs>
</ds:datastoreItem>
</file>

<file path=customXml/itemProps3.xml><?xml version="1.0" encoding="utf-8"?>
<ds:datastoreItem xmlns:ds="http://schemas.openxmlformats.org/officeDocument/2006/customXml" ds:itemID="{81120020-493D-4FC3-B0F7-1E62D1DE9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be038-0ab3-423e-893a-b39695f7a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buonocorem</dc:creator>
  <cp:lastModifiedBy>Farzaneh Elahihaghighi</cp:lastModifiedBy>
  <cp:revision>3</cp:revision>
  <dcterms:created xsi:type="dcterms:W3CDTF">2024-11-07T13:11:00Z</dcterms:created>
  <dcterms:modified xsi:type="dcterms:W3CDTF">2025-02-11T13:52:00Z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0x010100FAE86E3A6244044B8EC9F4A0C25241CE</vt:lpwstr>
  </property>
</Properties>
</file>