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bookmarkStart w:id="1" w:name="_gjdgxs"/>
    <w:bookmarkEnd w:id="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Occupational Therapist (Reablement), Reablement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Level 2,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Reports to: Occupational Therapy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color w:val="000000"/>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 </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The role holder will lead the effective development of partnership approaches in order to safeguard individuals through the effective management of safeguarding risk and the recording and sharing of information. </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The role holder will ensure that through effective advice, planning and support and the utilisation of ‘joined up’ approaches, individuals are able to access services appropriate for their identified needs. </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The role holder will support the leadership of the team and service through the provision of advice</w:t>
      </w:r>
      <w:r>
        <w:rPr>
          <w:rFonts w:ascii="Arial" w:hAnsi="Arial" w:eastAsia="Arial" w:cs="Arial"/>
          <w:lang w:val="en-GB" w:eastAsia="en-GB" w:bidi="en-GB"/>
        </w:rPr>
        <w:t xml:space="preserve">, mentoring and supervision to colleagues, contributing to the ongoing development of staff, students, apprentice's and trainees.</w:t>
      </w:r>
      <w:r>
        <w:rPr>
          <w:rFonts w:ascii="Arial" w:hAnsi="Arial" w:eastAsia="Arial" w:cs="Arial"/>
          <w:color w:val="000000"/>
          <w:lang w:val="en-GB" w:eastAsia="en-GB" w:bidi="en-GB"/>
        </w:rPr>
        <w:t xml:space="preserve"> </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u w:val="single"/>
          <w:lang w:val="en-GB" w:eastAsia="en-GB" w:bidi="en-GB"/>
        </w:rPr>
      </w:pPr>
      <w:r>
        <w:rPr>
          <w:rFonts w:ascii="Arial" w:hAnsi="Arial" w:eastAsia="Arial" w:cs="Arial"/>
          <w:b/>
          <w:bCs/>
          <w:u w:val="single"/>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color w:val="000000"/>
          <w:lang w:val="en-GB" w:eastAsia="en-GB" w:bidi="en-GB"/>
        </w:rPr>
        <w:t xml:space="preserve">Effectively manage and be accountable for a caseload of high level and often complex cases through advice, guidance and supervision to improve outcomes for individuals and associated parties while ensuring adherence to statutory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Engage with stakeholders in the private and public sectors and across local communities to encourage a collaborative and transparent approach that promotes residents' needs across a range of existing and new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Proactively establish, develop and maintain relationships with partner agencies and stakeholders to provide individuals with the opportunity to access suitable services which will assist them in achieving their agreed goals.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Where the role holder has a disability,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u w:val="single"/>
          <w:lang w:val="en-GB" w:eastAsia="en-GB" w:bidi="en-GB"/>
        </w:rPr>
      </w:pPr>
      <w:r>
        <w:rPr>
          <w:rFonts w:ascii="Arial" w:hAnsi="Arial" w:eastAsia="Arial" w:cs="Arial"/>
          <w:b/>
          <w:bCs/>
          <w:color w:val="000000"/>
          <w:u w:val="single"/>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includes but is not limited to the following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with individuals to assess their strengths and needs, providing reablement-focused interventions supporting them to achieve their goals through tailored strategies.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Using a strength-based approach, we work with people in their own homes and communities, on a short-term basis, to maximise independence with a variety of daily living tasks including maintaining personal hygiene, preparing food, accessing community resources and managing day to day risks. The support provided ranges from motivation and confidence building to more practical assistance.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Reablement is part of the wider Manchester Community Response (MCR) service which also includes Discharge to Assess, Crisis Response and Intermediate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The role holder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Support with the clinical day-to-day supervision and mentoring of level 1 Occupational Therapists, Occupational Therapy students &amp; apprentices within the Reablement team.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Provide expert support and guidance, support with quality assurance and evaluate the day-to-day practice of level 1 occupational therapists and other reablement team members.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Support, advise and provide guidance to Reablement support workers and other MCC staff.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Promote, develop and demonstrate high quality occupational therapy practice within reablement.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Effectively manage a large and varied caseload including complex and challenging cases.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Assess for and recommend minor and some major adaptations.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Plan, co-ordinate and deliver training, sharing your expert knowledge and experience with the reablement team, supporting the development of the reablement staff.</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Have an excellent awareness of safeguarding in line with Manchester policy, including making referrals and participation in safeguarding investigations.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Work as part of the wider multi-disciplinary MCR team supporting individuals on the Reablement pathway.</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Undertake functional, holistic, strengths b</w:t>
      </w:r>
      <w:r>
        <w:rPr>
          <w:rFonts w:ascii="Arial" w:hAnsi="Arial" w:eastAsia="Arial" w:cs="Arial"/>
          <w:lang w:val="en-GB" w:eastAsia="en-GB" w:bidi="en-GB"/>
        </w:rPr>
        <w:t xml:space="preserve">ased occupational therapy assessments and implement creative and tailored reablement plans enabling customers to meet their goals and reduce or remove the need for ongoing support or long-term care.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Contribute to goal setting and support planning.</w:t>
      </w:r>
    </w:p>
    <w:p>
      <w:pPr>
        <w:pStyle w:val="ListParagraph"/>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Plan, implement and evaluate short term interventions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Promote and facilitate good moving and handling practice including risk assessments, handling plans and training for individuals, families and reablement support workers.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ind w:left="360" w:hanging="360"/>
        <w:jc w:val="both"/>
        <w:rPr>
          <w:rFonts w:ascii="Arial" w:hAnsi="Arial" w:eastAsia="Arial" w:cs="Arial"/>
          <w:lang w:val="en-GB" w:eastAsia="en-GB" w:bidi="en-GB"/>
        </w:rPr>
      </w:pPr>
      <w:r>
        <w:rPr>
          <w:rFonts w:ascii="Arial" w:hAnsi="Arial" w:eastAsia="Arial" w:cs="Arial"/>
          <w:lang w:val="en-GB" w:eastAsia="en-GB" w:bidi="en-GB"/>
        </w:rPr>
        <w:t xml:space="preserve">Have knowledge of providing reablement intervention to individuals with different needs including those with learning difficulties, autism and mental health conditions.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ind w:left="360" w:hanging="360"/>
        <w:jc w:val="both"/>
        <w:rPr>
          <w:rFonts w:ascii="Arial" w:hAnsi="Arial" w:eastAsia="Arial" w:cs="Arial"/>
          <w:lang w:val="en-GB" w:eastAsia="en-GB" w:bidi="en-GB"/>
        </w:rPr>
      </w:pPr>
      <w:r>
        <w:rPr>
          <w:rFonts w:ascii="Arial" w:hAnsi="Arial" w:eastAsia="Arial" w:cs="Arial"/>
          <w:lang w:val="en-GB" w:eastAsia="en-GB" w:bidi="en-GB"/>
        </w:rPr>
        <w:t xml:space="preserve">Experience of managing junior staff desirable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Competencies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p>
    <w:p>
      <w:pPr>
        <w:pStyle w:val="Normal"/>
        <w:pBdr>
          <w:top w:val="single" w:sz="4" w:space="1" w:color="FF0000"/>
          <w:left w:val="single" w:sz="4" w:space="1" w:color="FF0000"/>
          <w:bottom w:val="single" w:sz="4" w:space="1" w:color="FF0000"/>
          <w:right w:val="single" w:sz="4" w:space="1" w:color="FF0000"/>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r>
        <w:rPr>
          <w:rFonts w:ascii="Arial" w:hAnsi="Arial" w:eastAsia="Arial" w:cs="Arial"/>
          <w:lang w:val="en-GB" w:eastAsia="en-GB" w:bidi="en-GB"/>
        </w:rPr>
        <w:t xml:space="preserve">	</w:t>
      </w:r>
    </w:p>
    <w:p>
      <w:pPr>
        <w:pStyle w:val="ListParagraph"/>
        <w:numPr>
          <w:ilvl w:val="0"/>
          <w:numId w:val="3"/>
        </w:numPr>
        <w:shd w:val="clear" w:color="auto" w:fill="FFFFFF"/>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ListParagraph"/>
        <w:widowControl w:val="off"/>
        <w:numPr>
          <w:ilvl w:val="0"/>
          <w:numId w:val="4"/>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ListParagraph"/>
        <w:widowControl w:val="off"/>
        <w:numPr>
          <w:ilvl w:val="0"/>
          <w:numId w:val="4"/>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ListParagraph"/>
        <w:widowControl w:val="off"/>
        <w:numPr>
          <w:ilvl w:val="0"/>
          <w:numId w:val="4"/>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ListParagraph"/>
        <w:widowControl w:val="off"/>
        <w:numPr>
          <w:ilvl w:val="0"/>
          <w:numId w:val="4"/>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pBdr>
          <w:top w:val="single" w:sz="4" w:space="1" w:color="FF0000"/>
          <w:left w:val="single" w:sz="4" w:space="1" w:color="FF0000"/>
          <w:bottom w:val="single" w:sz="4" w:space="1" w:color="FF0000"/>
          <w:right w:val="single" w:sz="4" w:space="1" w:color="FF0000"/>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jc w:val="both"/>
        <w:rPr>
          <w:rFonts w:ascii="Arial" w:hAnsi="Arial" w:eastAsia="Arial" w:cs="Arial"/>
          <w:lang w:val="en-GB" w:eastAsia="en-GB" w:bidi="en-GB"/>
        </w:rPr>
      </w:pP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7"/>
        <w:ind w:left="360" w:hanging="360"/>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Communication Skills: </w:t>
      </w:r>
      <w:r>
        <w:rPr>
          <w:rFonts w:ascii="Arial" w:hAnsi="Arial" w:eastAsia="Arial" w:cs="Arial"/>
          <w:color w:val="000000"/>
          <w:lang w:val="en-GB" w:eastAsia="en-GB" w:bidi="en-GB"/>
        </w:rPr>
        <w:t xml:space="preserve">Ability to effectively transfer key and complex information to all levels of staff, adapting the style of communication as necessary and ensuring that this information is understood.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7"/>
        <w:ind w:left="360" w:hanging="360"/>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Planning and Organising Skills: </w:t>
      </w:r>
      <w:r>
        <w:rPr>
          <w:rFonts w:ascii="Arial" w:hAnsi="Arial" w:eastAsia="Arial" w:cs="Arial"/>
          <w:color w:val="000000"/>
          <w:lang w:val="en-GB" w:eastAsia="en-GB" w:bidi="en-GB"/>
        </w:rPr>
        <w:t xml:space="preserve">Demonstrate excellent judgement skills under competing priorities and pressure.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7"/>
        <w:ind w:left="360" w:hanging="360"/>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Analytical Skills: </w:t>
      </w:r>
      <w:r>
        <w:rPr>
          <w:rFonts w:ascii="Arial" w:hAnsi="Arial" w:eastAsia="Arial" w:cs="Arial"/>
          <w:color w:val="000000"/>
          <w:lang w:val="en-GB" w:eastAsia="en-GB" w:bidi="en-GB"/>
        </w:rPr>
        <w:t xml:space="preserve">Ability to absorb, understand and quickly assimilate complex information and concepts and compare information from a number of different sources.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7"/>
        <w:ind w:left="360" w:hanging="360"/>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Problem Solving and Decision Making Skills: </w:t>
      </w:r>
      <w:r>
        <w:rPr>
          <w:rFonts w:ascii="Arial" w:hAnsi="Arial" w:eastAsia="Arial" w:cs="Arial"/>
          <w:color w:val="000000"/>
          <w:lang w:val="en-GB" w:eastAsia="en-GB" w:bidi="en-GB"/>
        </w:rPr>
        <w:t xml:space="preserve">Strong decision making skills with the ability to resolve complex issues in a pressurised environment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7"/>
        <w:ind w:left="360" w:hanging="360"/>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Creative Skills: </w:t>
      </w:r>
      <w:r>
        <w:rPr>
          <w:rFonts w:ascii="Arial" w:hAnsi="Arial" w:eastAsia="Arial" w:cs="Arial"/>
          <w:color w:val="000000"/>
          <w:lang w:val="en-GB" w:eastAsia="en-GB" w:bidi="en-GB"/>
        </w:rPr>
        <w:t xml:space="preserve">Ability to find creative solutions where there are no existing parameters or procedural framework.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IT Skills: </w:t>
      </w:r>
      <w:r>
        <w:rPr>
          <w:rFonts w:ascii="Arial" w:hAnsi="Arial" w:eastAsia="Arial" w:cs="Arial"/>
          <w:color w:val="000000"/>
          <w:lang w:val="en-GB" w:eastAsia="en-GB" w:bidi="en-GB"/>
        </w:rPr>
        <w:t xml:space="preserve">Skills to use ICT systems to obtain and analyse data and present it effectively through a variety of ICT channels.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pBdr>
          <w:top w:val="single" w:sz="4" w:space="1" w:color="FF0000"/>
          <w:left w:val="single" w:sz="4" w:space="1" w:color="FF0000"/>
          <w:bottom w:val="single" w:sz="4" w:space="1" w:color="FF0000"/>
          <w:right w:val="single" w:sz="4" w:space="1" w:color="FF0000"/>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color w:val="000000"/>
          <w:lang w:val="en-GB" w:eastAsia="en-GB" w:bidi="en-GB"/>
        </w:rPr>
      </w:pPr>
      <w:r>
        <w:rPr>
          <w:rFonts w:ascii="Arial" w:hAnsi="Arial" w:eastAsia="Arial" w:cs="Arial"/>
          <w:sz w:val="23"/>
          <w:szCs w:val="23"/>
          <w:lang w:val="en-GB" w:eastAsia="en-GB" w:bidi="en-GB"/>
        </w:rPr>
        <w:t xml:space="preserve">H</w:t>
      </w:r>
      <w:r>
        <w:rPr>
          <w:rFonts w:ascii="Arial" w:hAnsi="Arial" w:eastAsia="Arial" w:cs="Arial"/>
          <w:lang w:val="en-GB" w:eastAsia="en-GB" w:bidi="en-GB"/>
        </w:rPr>
        <w:t xml:space="preserve">old Degree in Occupational Therapy, and at least 2 year's experience working as an Occupational Therapist</w:t>
      </w:r>
    </w:p>
    <w:p>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color w:val="000000"/>
          <w:lang w:val="en-GB" w:eastAsia="en-GB" w:bidi="en-GB"/>
        </w:rPr>
      </w:pPr>
      <w:r>
        <w:rPr>
          <w:rFonts w:ascii="Arial" w:hAnsi="Arial" w:eastAsia="Arial" w:cs="Arial"/>
          <w:lang w:val="en-GB" w:eastAsia="en-GB" w:bidi="en-GB"/>
        </w:rPr>
        <w:t xml:space="preserve">Registered with the Health Care Professionals Council (HCPC) </w:t>
      </w:r>
    </w:p>
    <w:p>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color w:val="000000"/>
          <w:lang w:val="en-GB" w:eastAsia="en-GB" w:bidi="en-GB"/>
        </w:rPr>
      </w:pPr>
      <w:r>
        <w:rPr>
          <w:rFonts w:ascii="Arial" w:hAnsi="Arial" w:eastAsia="Arial" w:cs="Arial"/>
          <w:lang w:val="en-GB" w:eastAsia="en-GB" w:bidi="en-GB"/>
        </w:rPr>
        <w:t xml:space="preserve">Willingness to consent to and apply for an enhanced Disclosure and Barring Service</w:t>
      </w:r>
    </w:p>
    <w:p>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color w:val="000000"/>
          <w:lang w:val="en-GB" w:eastAsia="en-GB" w:bidi="en-GB"/>
        </w:rPr>
      </w:pPr>
      <w:r>
        <w:rPr>
          <w:rFonts w:ascii="Arial" w:hAnsi="Arial" w:eastAsia="Arial" w:cs="Arial"/>
          <w:lang w:val="en-GB" w:eastAsia="en-GB" w:bidi="en-GB"/>
        </w:rPr>
        <w:t xml:space="preserve">Current driving licence and access to a vehicle </w:t>
      </w:r>
    </w:p>
    <w:p>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color w:val="000000"/>
          <w:lang w:val="en-GB" w:eastAsia="en-GB" w:bidi="en-GB"/>
        </w:rPr>
      </w:pPr>
      <w:r>
        <w:rPr>
          <w:rFonts w:ascii="Arial" w:hAnsi="Arial" w:eastAsia="Arial" w:cs="Arial"/>
          <w:lang w:val="en-GB" w:eastAsia="en-GB" w:bidi="en-GB"/>
        </w:rPr>
        <w:t xml:space="preserve">Excellent knowledge of Occupational Therapy Models of Practice</w:t>
      </w:r>
    </w:p>
    <w:p>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color w:val="000000"/>
          <w:lang w:val="en-GB" w:eastAsia="en-GB" w:bidi="en-GB"/>
        </w:rPr>
      </w:pPr>
      <w:r>
        <w:rPr>
          <w:rFonts w:ascii="Arial" w:hAnsi="Arial" w:eastAsia="Arial" w:cs="Arial"/>
          <w:lang w:val="en-GB" w:eastAsia="en-GB" w:bidi="en-GB"/>
        </w:rPr>
        <w:t xml:space="preserve">Highly developed application of assessment and interventions relevant to people with a range of medical conditions</w:t>
      </w:r>
    </w:p>
    <w:p>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color w:val="000000"/>
          <w:lang w:val="en-GB" w:eastAsia="en-GB" w:bidi="en-GB"/>
        </w:rPr>
      </w:pPr>
      <w:r>
        <w:rPr>
          <w:rFonts w:ascii="Arial" w:hAnsi="Arial" w:eastAsia="Arial" w:cs="Arial"/>
          <w:lang w:val="en-GB" w:eastAsia="en-GB" w:bidi="en-GB"/>
        </w:rPr>
        <w:t xml:space="preserve">Good understanding of relevant Social Care legislation</w:t>
      </w:r>
    </w:p>
    <w:p>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rFonts w:ascii="Arial" w:hAnsi="Arial" w:eastAsia="Arial" w:cs="Arial"/>
          <w:color w:val="000000"/>
          <w:lang w:val="en-GB" w:eastAsia="en-GB" w:bidi="en-GB"/>
        </w:rPr>
        <w:t xml:space="preserve">Well-established understanding of equipment and moving and handling assessments and interventions.</w:t>
      </w:r>
    </w:p>
    <w:p>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A willingness to work towards achieving accredited Manual Handing Train the Trainer</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sectPr>
      <w:headerReference w:type="default" r:id="rId00009"/>
      <w:footerReference w:type="default" r:id="rId00010"/>
      <w:pgSz w:w="11906" w:h="16838"/>
      <w:pgMar w:top="1440" w:right="1800" w:bottom="1440" w:left="1800"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s>
      <w:jc w:val="right"/>
      <w:rPr>
        <w:rFonts w:ascii="Tahoma" w:hAnsi="Tahoma" w:eastAsia="Tahoma" w:cs="Tahoma"/>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-408940</wp:posOffset>
          </wp:positionH>
          <wp:positionV relativeFrom="paragraph">
            <wp:posOffset>0</wp:posOffset>
          </wp:positionV>
          <wp:extent cx="5333365" cy="693420"/>
          <wp:wrapSquare wrapText="bothSides"/>
          <wp:docPr id="3" name="Picture 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5333365" cy="69342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4076700</wp:posOffset>
          </wp:positionH>
          <wp:positionV relativeFrom="paragraph">
            <wp:posOffset>0</wp:posOffset>
          </wp:positionV>
          <wp:extent cx="2131695" cy="410845"/>
          <wp:wrapSquare wrapText="bothSides"/>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31695" cy="41084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-1066165</wp:posOffset>
          </wp:positionH>
          <wp:positionV relativeFrom="paragraph">
            <wp:posOffset>0</wp:posOffset>
          </wp:positionV>
          <wp:extent cx="1936750" cy="673735"/>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1936750" cy="67373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294" w:hanging="294"/>
        <w:tabs>
          <w:tab w:val="num" w:pos="294"/>
        </w:tabs>
      </w:pPr>
      <w:rPr>
        <w:rFonts w:hint="default" w:ascii="Symbol" w:hAnsi="Symbol" w:eastAsia="Symbol" w:cs="Symbol"/>
        <w:b w:val="off"/>
        <w:i w:val="off"/>
        <w:strike w:val="off"/>
        <w:color w:val="222222"/>
        <w:position w:val="0"/>
        <w:sz w:val="24"/>
        <w:u w:val="none"/>
        <w:shd w:val="clear" w:color="auto" w:fill="auto"/>
      </w:rPr>
    </w:lvl>
  </w:abstractNum>
  <w:abstractNum w:abstractNumId="3">
    <w:multiLevelType w:val="singleLevel"/>
    <w:lvl w:ilvl="0">
      <w:start w:val="1"/>
      <w:numFmt w:val="bullet"/>
      <w:suff w:val="tab"/>
      <w:lvlText w:val=""/>
      <w:pPr>
        <w:ind w:left="294" w:hanging="294"/>
        <w:tabs>
          <w:tab w:val="num" w:pos="294"/>
        </w:tabs>
      </w:pPr>
      <w:rPr>
        <w:rFonts w:hint="default" w:ascii="Symbol" w:hAnsi="Symbol" w:eastAsia="Symbol" w:cs="Symbol"/>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cs="Symbol"/>
        <w:b w:val="on"/>
        <w:i w:val="off"/>
        <w:strike w:val="off"/>
        <w:color w:val="000000"/>
        <w:position w:val="0"/>
        <w:sz w:val="24"/>
        <w:u w:val="none"/>
        <w:shd w:val="clear" w:color="auto" w:fill="auto"/>
      </w:rPr>
    </w:lvl>
  </w:abstractNum>
  <w:abstractNum w:abstractNumId="5">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3"/>
        <w:u w:val="none"/>
        <w:shd w:val="clear" w:color="auto" w:fill="auto"/>
      </w:rPr>
    </w:lvl>
  </w:abstractNum>
  <w:abstractNum w:abstractNumId="6">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7">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NormalWeb">
    <w:name w:val="Normal (Web)"/>
    <w:basedOn w:val="Normal"/>
    <w:next w:val="NormalWeb"/>
    <w:qFormat/>
    <w:pPr/>
    <w:rPr>
      <w:lang w:val="en-GB" w:eastAsia="en-GB" w:bidi="en-GB"/>
    </w:rPr>
  </w:style>
  <w:style w:type="paragraph" w:styleId="BodyText2">
    <w:name w:val="Body Text 2"/>
    <w:basedOn w:val="Normal"/>
    <w:next w:val="BodyText2"/>
    <w:qFormat/>
    <w:pPr>
      <w:spacing w:after="120" w:line="480" w:lineRule="auto"/>
    </w:pPr>
    <w:rPr>
      <w:lang w:val="en-GB" w:eastAsia="en-GB" w:bidi="en-GB"/>
    </w:rPr>
  </w:style>
  <w:style w:type="character" w:styleId="Body Text 2 Char">
    <w:name w:val="Body Text 2 Char"/>
    <w:qFormat/>
    <w:rPr>
      <w:rtl w:val="off"/>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Hilton-Duncan</dc:creator>
  <dcterms:created xsi:type="dcterms:W3CDTF">2024-10-16T12:09:00Z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y fmtid="{D5CDD505-2E9C-101B-9397-08002B2CF9AE}" pid="3" name="Order">
    <vt:r8>25100</vt:r8>
  </property>
</Properties>
</file>