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Building Control Team Lead – Class 3/4, Grade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Planning, Licensing &amp; Building Control Service, Growth &amp; Development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Building Control Section Manager (Technical)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Technical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This role leads a service which provides specialist technical support to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They will lead and drive the design, implementation, development, support and monitoring of policies, procedures, frameworks and approaches. In doing so they will support the achievement of strategic and operational objectives through a focus on quality, value for money and innovation whilst providing organisational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work in partnership with both internal services and external partners in a manner which is focused on organisational objectives and embraces the principle of joint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They will ensure the effective and prioritised deployment of resources to provide reliable information and support to managers and decision makers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a strategic technical consultancy function, developing innovative and strategic responses through provision of specialist technical advice, insight, support and challenge to support the delivery of organisational priorities, and to ensure the Council is able to meet its legal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the development, maintenance and monitoring of effective systems and information to support the delivery of key objectives.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GB" w:eastAsia="en-GB" w:bidi="en-GB"/>
        </w:rPr>
      </w:pPr>
      <w:r>
        <w:rPr>
          <w:lang w:val="en-GB" w:eastAsia="en-GB" w:bidi="en-GB"/>
        </w:rPr>
        <w:t xml:space="preserve">Represent the service/organisation in meetings, working groups and other forums, providing an input that proactively drives delivery of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Effectively commission work packages both within the assigned service area and from other service areas / organisations in order to provide a holistic approach to advice and ensure that all factors are accounted for in the decision making processes of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GB" w:eastAsia="en-GB" w:bidi="en-GB"/>
        </w:rPr>
      </w:pPr>
      <w:r>
        <w:rPr>
          <w:lang w:val="en-GB" w:eastAsia="en-GB" w:bidi="en-GB"/>
        </w:rPr>
        <w:t xml:space="preserve">Demonstrate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Where the roleholder is disabled, every effort will be made to supply all the necessary aids, adaptations or equipment to allow them to carry out all the duties of the job.  If however, a certain task proves to be unachievable, job redesign will be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These roles sit in the Planning, Building Control and Licensing Service. The service contributes to the delivery of key objectives for the city, ensuring new development essential to providing new homes sand new jobs, and the wider environment are safe, responds to the climate change agenda and are of the highest 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roles provide Specialist leadership support on the technical aspects of the Building Control function of the service, leading in the decision-making process and are responsible for making decisions in relation to innovative, complex and sensitive technical and legislative issues in order to deliver the key objectives of the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Principal Specialist Building Control Manager role will include highly specialist responsibility for Fire Safety and Safe at Sports Grounds; liaising with and representing the Council at SAG meetings and undertaking any duties relevant to ensuring the safety of the public.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lead and assist in the development of guidance in this specialist area to deliver quality and appropriate development working closely with the Director of Residential Growth and Housing to secure the improved well-being of the City and will lead on negotiations and areas of dispute to deliver a quality service to clients.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corporately and with other organisations towards the goal of delivering safe, inclusive and quality developments in the City.In addition, the role holder will ensure service delivery and outcomes are in accordance with policies and processes integral to associated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carry out the duties of the Technical Manager in his/her absence, leading and support the management of the Building Control Service to achieve statutory and related requirements, the Council’s corporate aims, objectives and organisational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play a key role in being part of the senior Building Control team in lobbying Government and advising the Council in the area of Building Control and in particular fire safety in order to deliver safe developments.  This will include working at G.M level and closely with GMFRS and LABC.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color w:val="000000"/>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the.City</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 </w:t>
      </w:r>
      <w:r>
        <w:rPr>
          <w:color w:val="000000"/>
          <w:sz w:val="27"/>
          <w:szCs w:val="27"/>
          <w:lang w:val="en-GB" w:eastAsia="en-GB" w:bidi="en-GB"/>
        </w:rPr>
        <w:t xml:space="preserve"> </w:t>
      </w:r>
      <w:r>
        <w:rPr>
          <w:rFonts w:ascii="Arial" w:hAnsi="Arial" w:eastAsia="Arial" w:cs="Arial"/>
          <w:color w:val="000000"/>
          <w:lang w:val="en-GB" w:eastAsia="en-GB" w:bidi="en-GB"/>
        </w:rPr>
        <w:t xml:space="preserve">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w:t>
      </w:r>
      <w:r>
        <w:rPr>
          <w:rFonts w:ascii="Arial" w:hAnsi="Arial" w:eastAsia="Arial" w:cs="Arial"/>
          <w:color w:val="000000"/>
          <w:sz w:val="27"/>
          <w:szCs w:val="27"/>
          <w:lang w:val="en-GB" w:eastAsia="en-GB" w:bidi="en-GB"/>
        </w:rPr>
        <w:t xml:space="preserve"> </w:t>
      </w:r>
      <w:r>
        <w:rPr>
          <w:rFonts w:ascii="Arial" w:hAnsi="Arial" w:eastAsia="Arial" w:cs="Arial"/>
          <w:color w:val="000000"/>
          <w:lang w:val="en-GB" w:eastAsia="en-GB" w:bidi="en-GB"/>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 </w:t>
      </w:r>
      <w:r>
        <w:rPr>
          <w:rFonts w:ascii="Arial" w:hAnsi="Arial" w:eastAsia="Arial" w:cs="Arial"/>
          <w:color w:val="000000"/>
          <w:sz w:val="27"/>
          <w:szCs w:val="27"/>
          <w:lang w:val="en-GB" w:eastAsia="en-GB" w:bidi="en-GB"/>
        </w:rPr>
        <w:t xml:space="preserve"> </w:t>
      </w:r>
      <w:r>
        <w:rPr>
          <w:rFonts w:ascii="Arial" w:hAnsi="Arial" w:eastAsia="Arial" w:cs="Arial"/>
          <w:color w:val="000000"/>
          <w:lang w:val="en-GB" w:eastAsia="en-GB" w:bidi="en-GB"/>
        </w:rPr>
        <w:t xml:space="preserve">Ability to maintain focus and objectivity under various conditions and skill in managing and maintaining a multi-priority workload, progressing various ideas and plans concurrently.</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Financial Skills: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Ability to design and implement governance and financial management frameworks within a complex organisation, and strategies for the efficient mitigation and management of business and financial risks.</w:t>
      </w:r>
      <w:r>
        <w:rPr>
          <w:rFonts w:ascii="Arial" w:hAnsi="Arial" w:eastAsia="Arial" w:cs="Arial"/>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color w:val="000000"/>
          <w:sz w:val="27"/>
          <w:szCs w:val="27"/>
          <w:lang w:val="en-GB" w:eastAsia="en-GB" w:bidi="en-GB"/>
        </w:rPr>
        <w:t xml:space="preserve"> </w:t>
      </w:r>
      <w:r>
        <w:rPr>
          <w:rFonts w:ascii="Arial" w:hAnsi="Arial" w:eastAsia="Arial" w:cs="Arial"/>
          <w:color w:val="000000"/>
          <w:lang w:val="en-GB" w:eastAsia="en-GB" w:bidi="en-GB"/>
        </w:rPr>
        <w:t xml:space="preserve">Ability to react to immediate problems of a highly complex nature with associated risk factors and deliver pragmatic solutions sometimes under extreme pressure.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Creative Skills: </w:t>
      </w:r>
      <w:r>
        <w:rPr>
          <w:rFonts w:ascii="Arial" w:hAnsi="Arial" w:eastAsia="Arial" w:cs="Arial"/>
          <w:color w:val="000000"/>
          <w:sz w:val="27"/>
          <w:szCs w:val="27"/>
          <w:lang w:val="en-GB" w:eastAsia="en-GB" w:bidi="en-GB"/>
        </w:rPr>
        <w:t xml:space="preserve"> </w:t>
      </w:r>
      <w:r>
        <w:rPr>
          <w:rFonts w:ascii="Arial" w:hAnsi="Arial" w:eastAsia="Arial" w:cs="Arial"/>
          <w:color w:val="000000"/>
          <w:lang w:val="en-GB" w:eastAsia="en-GB" w:bidi="en-GB"/>
        </w:rPr>
        <w:t xml:space="preserve">Ability to think creatively to proactively potential future scenario’s and to develop a range of creative solutions that meet the strategic needs of the business and are new and original.</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Strategic Thinking:</w:t>
      </w:r>
      <w:r>
        <w:rPr>
          <w:rFonts w:ascii="Arial" w:hAnsi="Arial" w:eastAsia="Arial" w:cs="Arial"/>
          <w:lang w:val="en-GB" w:eastAsia="en-GB" w:bidi="en-GB"/>
        </w:rPr>
        <w:t xml:space="preserve"> Thinks and acts cross-functionally, beyond one’s own professional areas of specialism, perceiving the wider picture and the implications of short-term decisions for the achievement of long-term strategic goals.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Qualified to degree level or equivalent, in a related discipline and holds a professional membership of a building control related organisation – Chartered Assoc of Building Engineers (MCABE), Chartered Institute of Building (MCIOB), or Royal Institution of Chartered Surveyors (MRICS), or equivalent.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Be a registered Building Inspector to at least a Class 3 – Specialist level in accordance with the Building Inspector Competence Framework.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Detailed and extensive knowledge of the Building Control legislative framework and a comprehensive understanding of associated legislation and Council policy that it interfaces with.</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color w:val="000000"/>
          <w:lang w:val="en-US" w:eastAsia="en-US" w:bidi="en-US"/>
        </w:rPr>
        <w:t xml:space="preserve">Must have knowledge and experience acquired, whilst working in a Local Authority or Approved Inspector building control organisation, is suitable for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sectPr>
      <w:headerReference w:type="default" r:id="rId00007"/>
      <w:footerReference w:type="default" r:id="rId00008"/>
      <w:pgSz w:w="11906" w:h="16838"/>
      <w:pgMar w:top="1304" w:right="1304" w:bottom="1191" w:left="1304"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2495" cy="42037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2495" cy="420370"/>
                  </a:xfrm>
                  <a:prstGeom prst="rect">
                    <a:avLst/>
                  </a:prstGeom>
                </pic:spPr>
              </pic:pic>
            </a:graphicData>
          </a:graphic>
        </wp:inline>
      </w:drawing>
    </w:r>
  </w:p>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BodyText">
    <w:name w:val="Body Text"/>
    <w:basedOn w:val="Normal"/>
    <w:next w:val="BodyText"/>
    <w:qFormat/>
    <w:pPr>
      <w:widowControl w:val="off"/>
      <w:spacing w:after="120"/>
    </w:pPr>
    <w:rPr>
      <w:rFonts w:ascii="Arial" w:hAnsi="Arial" w:eastAsia="Arial" w:cs="Arial"/>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stanleyan</dc:creator>
  <dcterms:created xsi:type="dcterms:W3CDTF">2023-10-05T09:58:00Z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